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322F3">
      <w:pPr>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关于做好202</w:t>
      </w:r>
      <w:r>
        <w:rPr>
          <w:rFonts w:hint="default"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年度江西省专精特新中小企业认定和复核工作的通知</w:t>
      </w:r>
    </w:p>
    <w:p w14:paraId="5C63FB2E">
      <w:pPr>
        <w:pStyle w:val="2"/>
        <w:rPr>
          <w:rFonts w:hint="eastAsia"/>
          <w:lang w:val="en-US" w:eastAsia="zh-CN"/>
        </w:rPr>
      </w:pPr>
    </w:p>
    <w:p w14:paraId="4AA4B259">
      <w:pPr>
        <w:ind w:left="0" w:leftChars="0" w:firstLine="0" w:firstLineChars="0"/>
        <w:rPr>
          <w:rFonts w:hint="eastAsia"/>
          <w:lang w:val="en-US" w:eastAsia="zh-CN"/>
        </w:rPr>
      </w:pPr>
      <w:r>
        <w:rPr>
          <w:rFonts w:hint="eastAsia"/>
          <w:lang w:val="en-US" w:eastAsia="zh-CN"/>
        </w:rPr>
        <w:t>各县（市、区）工信局、高新区科发局、昌南新区经发局：</w:t>
      </w:r>
    </w:p>
    <w:p w14:paraId="512EB09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根据</w:t>
      </w:r>
      <w:r>
        <w:rPr>
          <w:rFonts w:hint="eastAsia" w:ascii="仿宋_GB2312" w:hAnsi="仿宋_GB2312" w:eastAsia="仿宋_GB2312" w:cs="仿宋_GB2312"/>
          <w:color w:val="auto"/>
          <w:sz w:val="32"/>
          <w:szCs w:val="32"/>
          <w:lang w:eastAsia="zh-CN"/>
        </w:rPr>
        <w:t>《优质中小企业梯度培育管理办法》（工信部企业〔2026〕2号，以下简称《办法》）</w:t>
      </w:r>
      <w:r>
        <w:rPr>
          <w:rFonts w:hint="eastAsia" w:cs="仿宋_GB2312"/>
          <w:color w:val="auto"/>
          <w:sz w:val="32"/>
          <w:szCs w:val="32"/>
          <w:lang w:eastAsia="zh-CN"/>
        </w:rPr>
        <w:t>，</w:t>
      </w:r>
      <w:r>
        <w:rPr>
          <w:rFonts w:hint="eastAsia"/>
        </w:rPr>
        <w:t>《江西省工业和信息化厅关于开展2026年度江西省专精特新中小企业认定和复核工作的通知》（赣工信</w:t>
      </w:r>
      <w:r>
        <w:rPr>
          <w:rFonts w:hint="eastAsia"/>
          <w:lang w:eastAsia="zh-CN"/>
        </w:rPr>
        <w:t>企业</w:t>
      </w:r>
      <w:r>
        <w:rPr>
          <w:rFonts w:hint="eastAsia"/>
        </w:rPr>
        <w:t>字〔202</w:t>
      </w:r>
      <w:r>
        <w:rPr>
          <w:rFonts w:hint="eastAsia"/>
          <w:lang w:val="en-US" w:eastAsia="zh-CN"/>
        </w:rPr>
        <w:t>6</w:t>
      </w:r>
      <w:r>
        <w:rPr>
          <w:rFonts w:hint="eastAsia"/>
        </w:rPr>
        <w:t>〕</w:t>
      </w:r>
      <w:r>
        <w:rPr>
          <w:rFonts w:hint="eastAsia"/>
          <w:lang w:val="en-US" w:eastAsia="zh-CN"/>
        </w:rPr>
        <w:t>116</w:t>
      </w:r>
      <w:r>
        <w:rPr>
          <w:rFonts w:hint="eastAsia"/>
        </w:rPr>
        <w:t>号，以下简称《通知》）要求，为做好202</w:t>
      </w:r>
      <w:r>
        <w:rPr>
          <w:rFonts w:hint="eastAsia"/>
          <w:lang w:val="en-US" w:eastAsia="zh-CN"/>
        </w:rPr>
        <w:t>6</w:t>
      </w:r>
      <w:r>
        <w:rPr>
          <w:rFonts w:hint="eastAsia"/>
        </w:rPr>
        <w:t>年江西省专精特新中小企业申报推荐和复核工作，现将有关事项通知如下：</w:t>
      </w:r>
    </w:p>
    <w:p w14:paraId="52F2BB90">
      <w:pPr>
        <w:rPr>
          <w:rFonts w:hint="eastAsia" w:ascii="黑体" w:hAnsi="黑体" w:eastAsia="黑体" w:cs="黑体"/>
        </w:rPr>
      </w:pPr>
      <w:r>
        <w:rPr>
          <w:rFonts w:hint="eastAsia" w:ascii="黑体" w:hAnsi="黑体" w:eastAsia="黑体" w:cs="黑体"/>
        </w:rPr>
        <w:t>一、申报对象</w:t>
      </w:r>
    </w:p>
    <w:p w14:paraId="5E753FD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1.专精特新认定申报：有效期内科技型或创新型中小企业可申报认定；2026年第一批创新型中小企业可申报认定。</w:t>
      </w:r>
      <w:r>
        <w:rPr>
          <w:rFonts w:hint="eastAsia" w:cs="仿宋_GB2312"/>
          <w:color w:val="auto"/>
          <w:sz w:val="32"/>
          <w:szCs w:val="32"/>
          <w:lang w:val="en-US" w:eastAsia="zh-CN"/>
        </w:rPr>
        <w:t>（科技型中小企业，经省工信厅向省科技厅了解，2026年年内无有效期内科技型中小企业，不予申报。）</w:t>
      </w:r>
    </w:p>
    <w:p w14:paraId="6439AB40">
      <w:pPr>
        <w:pStyle w:val="1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outlineLvl w:val="9"/>
        <w:rPr>
          <w:rFonts w:hint="default" w:ascii="仿宋_GB2312" w:hAnsi="仿宋_GB2312" w:cs="仿宋_GB2312"/>
          <w:color w:val="auto"/>
          <w:sz w:val="32"/>
          <w:szCs w:val="32"/>
          <w:lang w:val="en" w:eastAsia="zh-CN"/>
        </w:rPr>
      </w:pPr>
      <w:r>
        <w:rPr>
          <w:rFonts w:hint="eastAsia" w:ascii="仿宋_GB2312" w:hAnsi="仿宋_GB2312" w:eastAsia="仿宋_GB2312" w:cs="仿宋_GB2312"/>
          <w:color w:val="auto"/>
          <w:sz w:val="32"/>
          <w:szCs w:val="32"/>
          <w:lang w:val="en-US" w:eastAsia="zh-CN"/>
        </w:rPr>
        <w:t>2.专精特新复核申报</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2023年度认定的江西省专精特新中小企业可申报复核。</w:t>
      </w:r>
      <w:bookmarkStart w:id="0" w:name="_GoBack"/>
      <w:bookmarkEnd w:id="0"/>
    </w:p>
    <w:p w14:paraId="6CF5B520">
      <w:pPr>
        <w:rPr>
          <w:rFonts w:hint="eastAsia" w:ascii="黑体" w:hAnsi="黑体" w:eastAsia="黑体" w:cs="黑体"/>
        </w:rPr>
      </w:pPr>
      <w:r>
        <w:rPr>
          <w:rFonts w:hint="eastAsia" w:ascii="黑体" w:hAnsi="黑体" w:eastAsia="黑体" w:cs="黑体"/>
        </w:rPr>
        <w:t>二、申报方式</w:t>
      </w:r>
    </w:p>
    <w:p w14:paraId="523B1F9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sz w:val="32"/>
          <w:szCs w:val="32"/>
          <w:lang w:eastAsia="zh-CN"/>
        </w:rPr>
        <w:t>符合申报要求的企业可于</w:t>
      </w:r>
      <w:r>
        <w:rPr>
          <w:rFonts w:hint="eastAsia" w:ascii="仿宋_GB2312" w:hAnsi="仿宋_GB2312" w:eastAsia="仿宋_GB2312" w:cs="仿宋_GB2312"/>
          <w:color w:val="auto"/>
          <w:sz w:val="32"/>
          <w:szCs w:val="32"/>
          <w:lang w:val="en-US" w:eastAsia="zh-CN"/>
        </w:rPr>
        <w:t>2026年7月1日0时至7月31日17:00</w:t>
      </w:r>
      <w:r>
        <w:rPr>
          <w:rFonts w:hint="eastAsia"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逾期系统关闭，不再受理申报</w:t>
      </w:r>
      <w:r>
        <w:rPr>
          <w:rFonts w:hint="eastAsia" w:cs="仿宋_GB2312"/>
          <w:color w:val="auto"/>
          <w:sz w:val="32"/>
          <w:szCs w:val="32"/>
          <w:lang w:val="en-US" w:eastAsia="zh-CN"/>
        </w:rPr>
        <w:t>。）</w:t>
      </w:r>
      <w:r>
        <w:rPr>
          <w:rFonts w:hint="eastAsia" w:ascii="仿宋_GB2312" w:hAnsi="仿宋_GB2312" w:eastAsia="仿宋_GB2312" w:cs="仿宋_GB2312"/>
          <w:color w:val="auto"/>
          <w:sz w:val="32"/>
          <w:szCs w:val="32"/>
          <w:lang w:eastAsia="zh-CN"/>
        </w:rPr>
        <w:t>登录优质中小企业梯度培育平台（</w:t>
      </w:r>
      <w:r>
        <w:rPr>
          <w:rFonts w:hint="default" w:ascii="仿宋_GB2312" w:hAnsi="仿宋_GB2312" w:eastAsia="仿宋_GB2312" w:cs="仿宋_GB2312"/>
          <w:color w:val="auto"/>
          <w:sz w:val="32"/>
          <w:szCs w:val="32"/>
          <w:lang w:val="en" w:eastAsia="zh-CN"/>
        </w:rPr>
        <w:t>https://zjtx.miit.gov.cn/</w:t>
      </w:r>
      <w:r>
        <w:rPr>
          <w:rFonts w:hint="eastAsia" w:ascii="仿宋_GB2312" w:hAnsi="仿宋_GB2312" w:eastAsia="仿宋_GB2312" w:cs="仿宋_GB2312"/>
          <w:color w:val="auto"/>
          <w:sz w:val="32"/>
          <w:szCs w:val="32"/>
          <w:lang w:eastAsia="zh-CN"/>
        </w:rPr>
        <w:t>）开展认定或复核申报，按要求填报、上传全部佐证材料。申报认定</w:t>
      </w:r>
      <w:r>
        <w:rPr>
          <w:rFonts w:hint="eastAsia" w:ascii="仿宋_GB2312" w:hAnsi="仿宋_GB2312" w:eastAsia="仿宋_GB2312" w:cs="仿宋_GB2312"/>
          <w:color w:val="auto"/>
          <w:sz w:val="32"/>
          <w:szCs w:val="32"/>
          <w:lang w:val="en-US" w:eastAsia="zh-CN"/>
        </w:rPr>
        <w:t>的企业</w:t>
      </w:r>
      <w:r>
        <w:rPr>
          <w:rFonts w:hint="eastAsia" w:ascii="仿宋_GB2312" w:hAnsi="仿宋_GB2312" w:eastAsia="仿宋_GB2312" w:cs="仿宋_GB2312"/>
          <w:color w:val="auto"/>
          <w:sz w:val="32"/>
          <w:szCs w:val="32"/>
          <w:lang w:eastAsia="zh-CN"/>
        </w:rPr>
        <w:t>点击“专精特新中小企业——去自评”进行自评，申报复核的企业点击“专精特新中小企业——去复核”进行复核。申报企业应如实、自主填报申请表，并按要求提供有关佐证材料</w:t>
      </w:r>
      <w:r>
        <w:rPr>
          <w:rFonts w:hint="eastAsia" w:ascii="仿宋_GB2312" w:hAnsi="仿宋_GB2312" w:eastAsia="仿宋_GB2312" w:cs="仿宋_GB2312"/>
          <w:color w:val="auto"/>
          <w:sz w:val="32"/>
          <w:szCs w:val="32"/>
          <w:highlight w:val="none"/>
          <w:lang w:val="en-US" w:eastAsia="zh-CN"/>
        </w:rPr>
        <w:t>。</w:t>
      </w:r>
    </w:p>
    <w:p w14:paraId="07C42C8B">
      <w:pPr>
        <w:rPr>
          <w:rFonts w:hint="eastAsia" w:ascii="黑体" w:hAnsi="黑体" w:eastAsia="黑体" w:cs="黑体"/>
          <w:lang w:eastAsia="zh-CN"/>
        </w:rPr>
      </w:pPr>
      <w:r>
        <w:rPr>
          <w:rFonts w:hint="eastAsia" w:ascii="黑体" w:hAnsi="黑体" w:eastAsia="黑体" w:cs="黑体"/>
          <w:lang w:eastAsia="zh-CN"/>
        </w:rPr>
        <w:t>三、注意事项</w:t>
      </w:r>
    </w:p>
    <w:p w14:paraId="76B8DA71">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按照《办法》有关要求，有效期内的专精特新中小企业应在每年5月31日前通过培育平台更新企业信息（系统开放更新时间另行通知）。在同一有效期内，对首次未进行更新的企业，重点监测；对累计达两次未更新的企业，取消认定。</w:t>
      </w:r>
    </w:p>
    <w:p w14:paraId="7F5B0685">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专精特新中小企业认定标准中（详见附件3），本年度中小企业专精特新发展评价得分由优质中小企业梯度培育平台自动计算得出。</w:t>
      </w:r>
    </w:p>
    <w:p w14:paraId="7E0C02E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3.</w:t>
      </w:r>
      <w:r>
        <w:rPr>
          <w:rFonts w:hint="eastAsia" w:ascii="仿宋_GB2312" w:hAnsi="仿宋_GB2312" w:eastAsia="仿宋_GB2312" w:cs="仿宋_GB2312"/>
          <w:color w:val="auto"/>
          <w:sz w:val="32"/>
          <w:szCs w:val="32"/>
        </w:rPr>
        <w:t>2023年</w:t>
      </w:r>
      <w:r>
        <w:rPr>
          <w:rFonts w:hint="eastAsia" w:ascii="仿宋_GB2312" w:hAnsi="仿宋_GB2312" w:eastAsia="仿宋_GB2312" w:cs="仿宋_GB2312"/>
          <w:color w:val="auto"/>
          <w:sz w:val="32"/>
          <w:szCs w:val="32"/>
          <w:lang w:eastAsia="zh-CN"/>
        </w:rPr>
        <w:t>认定的</w:t>
      </w:r>
      <w:r>
        <w:rPr>
          <w:rFonts w:hint="eastAsia" w:ascii="仿宋_GB2312" w:hAnsi="仿宋_GB2312" w:eastAsia="仿宋_GB2312" w:cs="仿宋_GB2312"/>
          <w:color w:val="auto"/>
          <w:sz w:val="32"/>
          <w:szCs w:val="32"/>
        </w:rPr>
        <w:t>专精特新</w:t>
      </w:r>
      <w:r>
        <w:rPr>
          <w:rFonts w:hint="eastAsia" w:ascii="仿宋_GB2312" w:hAnsi="仿宋_GB2312" w:eastAsia="仿宋_GB2312" w:cs="仿宋_GB2312"/>
          <w:color w:val="auto"/>
          <w:sz w:val="32"/>
          <w:szCs w:val="32"/>
          <w:lang w:eastAsia="zh-CN"/>
        </w:rPr>
        <w:t>中小企业</w:t>
      </w:r>
      <w:r>
        <w:rPr>
          <w:rFonts w:hint="eastAsia" w:ascii="仿宋_GB2312" w:hAnsi="仿宋_GB2312" w:eastAsia="仿宋_GB2312" w:cs="仿宋_GB2312"/>
          <w:color w:val="auto"/>
          <w:sz w:val="32"/>
          <w:szCs w:val="32"/>
        </w:rPr>
        <w:t>本次复核未通过</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统一纳入本年度第二批创新型中小企业评审，</w:t>
      </w:r>
      <w:r>
        <w:rPr>
          <w:rFonts w:hint="eastAsia" w:ascii="仿宋_GB2312" w:hAnsi="仿宋_GB2312" w:eastAsia="仿宋_GB2312" w:cs="仿宋_GB2312"/>
          <w:color w:val="auto"/>
          <w:sz w:val="32"/>
          <w:szCs w:val="32"/>
          <w:lang w:eastAsia="zh-CN"/>
        </w:rPr>
        <w:t>采用</w:t>
      </w:r>
      <w:r>
        <w:rPr>
          <w:rFonts w:hint="eastAsia" w:ascii="仿宋_GB2312" w:hAnsi="仿宋_GB2312" w:eastAsia="仿宋_GB2312" w:cs="仿宋_GB2312"/>
          <w:color w:val="auto"/>
          <w:sz w:val="32"/>
          <w:szCs w:val="32"/>
        </w:rPr>
        <w:t>本次复核全套申报材料，企业不用另行提交创新型申报资料</w:t>
      </w:r>
      <w:r>
        <w:rPr>
          <w:rFonts w:hint="eastAsia" w:ascii="仿宋_GB2312" w:hAnsi="仿宋_GB2312" w:eastAsia="仿宋_GB2312" w:cs="仿宋_GB2312"/>
          <w:color w:val="auto"/>
          <w:sz w:val="32"/>
          <w:szCs w:val="32"/>
          <w:lang w:eastAsia="zh-CN"/>
        </w:rPr>
        <w:t>。</w:t>
      </w:r>
    </w:p>
    <w:p w14:paraId="76B92010">
      <w:pPr>
        <w:rPr>
          <w:rFonts w:hint="eastAsia" w:ascii="黑体" w:hAnsi="黑体" w:eastAsia="黑体" w:cs="黑体"/>
        </w:rPr>
      </w:pPr>
      <w:r>
        <w:rPr>
          <w:rFonts w:hint="eastAsia" w:ascii="黑体" w:hAnsi="黑体" w:eastAsia="黑体" w:cs="黑体"/>
          <w:lang w:eastAsia="zh-CN"/>
        </w:rPr>
        <w:t>四、</w:t>
      </w:r>
      <w:r>
        <w:rPr>
          <w:rFonts w:hint="eastAsia" w:ascii="黑体" w:hAnsi="黑体" w:eastAsia="黑体" w:cs="黑体"/>
        </w:rPr>
        <w:t>工作要求</w:t>
      </w:r>
    </w:p>
    <w:p w14:paraId="465AFC8E">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rPr>
        <w:t>1</w:t>
      </w:r>
      <w:r>
        <w:rPr>
          <w:rFonts w:hint="eastAsia"/>
          <w:lang w:eastAsia="zh-CN"/>
        </w:rPr>
        <w:t>.</w:t>
      </w:r>
      <w:r>
        <w:rPr>
          <w:rFonts w:hint="eastAsia"/>
          <w:lang w:val="en-US" w:eastAsia="zh-CN"/>
        </w:rPr>
        <w:t>各县（市、区）、园区工信部门要</w:t>
      </w:r>
      <w:r>
        <w:rPr>
          <w:rFonts w:hint="eastAsia" w:ascii="仿宋_GB2312" w:hAnsi="仿宋_GB2312" w:eastAsia="仿宋_GB2312" w:cs="仿宋_GB2312"/>
          <w:sz w:val="32"/>
          <w:szCs w:val="32"/>
          <w:lang w:eastAsia="zh-CN"/>
        </w:rPr>
        <w:t>高度重视，切实加强组织协调，加大宣贯力度，做好答疑解读，确保企业了解掌握申报要求，广泛动员符合条件的企业申报。</w:t>
      </w:r>
    </w:p>
    <w:p w14:paraId="5D786809">
      <w:pPr>
        <w:rPr>
          <w:rFonts w:hint="eastAsia"/>
        </w:rPr>
      </w:pPr>
      <w:r>
        <w:rPr>
          <w:rFonts w:hint="eastAsia"/>
        </w:rPr>
        <w:t>2</w:t>
      </w:r>
      <w:r>
        <w:rPr>
          <w:rFonts w:hint="eastAsia"/>
          <w:lang w:eastAsia="zh-CN"/>
        </w:rPr>
        <w:t>.</w:t>
      </w:r>
      <w:r>
        <w:rPr>
          <w:rFonts w:hint="eastAsia"/>
          <w:lang w:val="en-US" w:eastAsia="zh-CN"/>
        </w:rPr>
        <w:t>各县（市、区）、园区工信部门要</w:t>
      </w:r>
      <w:r>
        <w:rPr>
          <w:rFonts w:hint="eastAsia"/>
        </w:rPr>
        <w:t>指导企业严谨、规范整理申报材料，</w:t>
      </w:r>
      <w:r>
        <w:rPr>
          <w:rFonts w:hint="eastAsia" w:ascii="仿宋_GB2312" w:hAnsi="仿宋_GB2312" w:eastAsia="仿宋_GB2312" w:cs="仿宋_GB2312"/>
          <w:color w:val="auto"/>
          <w:sz w:val="32"/>
          <w:szCs w:val="32"/>
          <w:lang w:eastAsia="zh-CN"/>
        </w:rPr>
        <w:t>督促企业如实填报各项信息，</w:t>
      </w:r>
      <w:r>
        <w:rPr>
          <w:rFonts w:hint="eastAsia"/>
        </w:rPr>
        <w:t>落实好</w:t>
      </w:r>
      <w:r>
        <w:rPr>
          <w:rFonts w:hint="eastAsia"/>
          <w:lang w:eastAsia="zh-CN"/>
        </w:rPr>
        <w:t>审核把关</w:t>
      </w:r>
      <w:r>
        <w:rPr>
          <w:rFonts w:hint="eastAsia"/>
        </w:rPr>
        <w:t>责任</w:t>
      </w:r>
      <w:r>
        <w:rPr>
          <w:rFonts w:hint="eastAsia"/>
          <w:lang w:eastAsia="zh-CN"/>
        </w:rPr>
        <w:t>，</w:t>
      </w:r>
      <w:r>
        <w:rPr>
          <w:rFonts w:hint="eastAsia" w:ascii="仿宋_GB2312" w:hAnsi="仿宋_GB2312" w:eastAsia="仿宋_GB2312" w:cs="仿宋_GB2312"/>
          <w:color w:val="auto"/>
          <w:sz w:val="32"/>
          <w:szCs w:val="32"/>
          <w:lang w:eastAsia="zh-CN"/>
        </w:rPr>
        <w:t>从严核查申报信息，切实提高初审推荐质量。</w:t>
      </w:r>
      <w:r>
        <w:rPr>
          <w:rFonts w:hint="eastAsia"/>
        </w:rPr>
        <w:t>（使用县区账号登录平台管理端https://zjtx.miit.gov.cn/zxqy</w:t>
      </w:r>
      <w:r>
        <w:rPr>
          <w:rFonts w:hint="eastAsia"/>
          <w:lang w:eastAsia="zh-CN"/>
        </w:rPr>
        <w:t>）</w:t>
      </w:r>
      <w:r>
        <w:rPr>
          <w:rFonts w:hint="eastAsia"/>
        </w:rPr>
        <w:t>。</w:t>
      </w:r>
    </w:p>
    <w:p w14:paraId="662A2C32">
      <w:pPr>
        <w:keepNext w:val="0"/>
        <w:keepLines w:val="0"/>
        <w:pageBreakBefore w:val="0"/>
        <w:widowControl w:val="0"/>
        <w:suppressLineNumbers w:val="0"/>
        <w:kinsoku/>
        <w:overflowPunct/>
        <w:topLinePunct w:val="0"/>
        <w:autoSpaceDE w:val="0"/>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宋体" w:eastAsia="仿宋_GB2312" w:cs="宋体"/>
          <w:color w:val="auto"/>
          <w:spacing w:val="0"/>
          <w:kern w:val="2"/>
          <w:sz w:val="32"/>
          <w:szCs w:val="32"/>
          <w:lang w:val="en-US" w:eastAsia="zh-CN" w:bidi="ar"/>
        </w:rPr>
      </w:pPr>
      <w:r>
        <w:rPr>
          <w:rFonts w:hint="eastAsia"/>
          <w:lang w:val="en-US" w:eastAsia="zh-CN"/>
        </w:rPr>
        <w:t>3</w:t>
      </w:r>
      <w:r>
        <w:rPr>
          <w:rFonts w:hint="eastAsia"/>
          <w:lang w:eastAsia="zh-CN"/>
        </w:rPr>
        <w:t>.</w:t>
      </w:r>
      <w:r>
        <w:rPr>
          <w:rFonts w:hint="eastAsia"/>
          <w:lang w:val="en-US" w:eastAsia="zh-CN"/>
        </w:rPr>
        <w:t>各县（市、区）、园区工信部门</w:t>
      </w:r>
      <w:r>
        <w:rPr>
          <w:rFonts w:hint="eastAsia" w:ascii="仿宋_GB2312" w:hAnsi="仿宋_GB2312" w:eastAsia="仿宋_GB2312" w:cs="仿宋_GB2312"/>
          <w:color w:val="auto"/>
          <w:sz w:val="32"/>
          <w:szCs w:val="32"/>
          <w:lang w:val="en-US" w:eastAsia="zh-CN"/>
        </w:rPr>
        <w:t>要对照《办法》及附件3认定标准，对企业申请材料、合规经营情况和相关佐证材料进行初审和实地核查，形成初审意见，期间可根据工作需要联系企业补充上传佐证材料，</w:t>
      </w:r>
      <w:r>
        <w:rPr>
          <w:rFonts w:hint="eastAsia"/>
        </w:rPr>
        <w:t>于</w:t>
      </w:r>
      <w:r>
        <w:rPr>
          <w:rFonts w:hint="eastAsia"/>
          <w:lang w:val="en-US" w:eastAsia="zh-CN"/>
        </w:rPr>
        <w:t>7</w:t>
      </w:r>
      <w:r>
        <w:rPr>
          <w:rFonts w:hint="eastAsia"/>
        </w:rPr>
        <w:t>月</w:t>
      </w:r>
      <w:r>
        <w:rPr>
          <w:rFonts w:hint="eastAsia"/>
          <w:lang w:val="en-US" w:eastAsia="zh-CN"/>
        </w:rPr>
        <w:t>31</w:t>
      </w:r>
      <w:r>
        <w:rPr>
          <w:rFonts w:hint="eastAsia"/>
        </w:rPr>
        <w:t>日前将加盖公章的正式推荐文件、</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年度江西省专精特新中小企业推荐汇总表、202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年度江西省专精特新中小企业复核汇总表</w:t>
      </w:r>
      <w:r>
        <w:rPr>
          <w:rFonts w:hint="eastAsia"/>
        </w:rPr>
        <w:t>（纸质材料</w:t>
      </w:r>
      <w:r>
        <w:rPr>
          <w:rFonts w:hint="eastAsia"/>
          <w:lang w:val="en-US" w:eastAsia="zh-CN"/>
        </w:rPr>
        <w:t>一</w:t>
      </w:r>
      <w:r>
        <w:rPr>
          <w:rFonts w:hint="eastAsia"/>
        </w:rPr>
        <w:t>份，电子材料提供PDF版和可编辑版）</w:t>
      </w:r>
      <w:r>
        <w:rPr>
          <w:rFonts w:hint="eastAsia"/>
          <w:lang w:eastAsia="zh-CN"/>
        </w:rPr>
        <w:t>，企业申报书</w:t>
      </w:r>
      <w:r>
        <w:rPr>
          <w:rFonts w:hint="eastAsia" w:ascii="仿宋_GB2312" w:hAnsi="仿宋_GB2312" w:eastAsia="仿宋_GB2312" w:cs="仿宋_GB2312"/>
          <w:i w:val="0"/>
          <w:iCs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lang w:val="en-US" w:eastAsia="zh-CN"/>
        </w:rPr>
        <w:t>电子版和纸质版，纸质版一式三份</w:t>
      </w:r>
      <w:r>
        <w:rPr>
          <w:rFonts w:hint="eastAsia" w:ascii="仿宋_GB2312" w:hAnsi="仿宋_GB2312" w:eastAsia="仿宋_GB2312" w:cs="仿宋_GB2312"/>
          <w:i w:val="0"/>
          <w:iCs w:val="0"/>
          <w:sz w:val="32"/>
          <w:szCs w:val="32"/>
          <w:highlight w:val="none"/>
          <w:lang w:eastAsia="zh-CN"/>
        </w:rPr>
        <w:t>）</w:t>
      </w:r>
      <w:r>
        <w:rPr>
          <w:rFonts w:hint="eastAsia"/>
        </w:rPr>
        <w:t>报</w:t>
      </w:r>
      <w:r>
        <w:rPr>
          <w:rFonts w:hint="eastAsia"/>
          <w:lang w:eastAsia="zh-CN"/>
        </w:rPr>
        <w:t>送至</w:t>
      </w:r>
      <w:r>
        <w:rPr>
          <w:rFonts w:hint="eastAsia"/>
        </w:rPr>
        <w:t>市</w:t>
      </w:r>
      <w:r>
        <w:rPr>
          <w:rFonts w:hint="eastAsia"/>
          <w:lang w:val="en-US" w:eastAsia="zh-CN"/>
        </w:rPr>
        <w:t>工信局中小微企业科，</w:t>
      </w:r>
      <w:r>
        <w:rPr>
          <w:rFonts w:hint="default" w:ascii="仿宋_GB2312" w:hAnsi="宋体" w:eastAsia="仿宋_GB2312" w:cs="宋体"/>
          <w:color w:val="auto"/>
          <w:spacing w:val="0"/>
          <w:kern w:val="2"/>
          <w:sz w:val="32"/>
          <w:szCs w:val="32"/>
          <w:lang w:val="en-US" w:eastAsia="zh-CN" w:bidi="ar"/>
        </w:rPr>
        <w:t>逾期申报不予受理。</w:t>
      </w:r>
    </w:p>
    <w:p w14:paraId="121F4AF7">
      <w:pPr>
        <w:keepNext w:val="0"/>
        <w:keepLines w:val="0"/>
        <w:pageBreakBefore w:val="0"/>
        <w:widowControl w:val="0"/>
        <w:suppressLineNumbers w:val="0"/>
        <w:kinsoku/>
        <w:overflowPunct/>
        <w:topLinePunct w:val="0"/>
        <w:autoSpaceDE w:val="0"/>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宋体" w:eastAsia="仿宋_GB2312" w:cs="宋体"/>
          <w:color w:val="auto"/>
          <w:spacing w:val="0"/>
          <w:kern w:val="2"/>
          <w:sz w:val="32"/>
          <w:szCs w:val="32"/>
        </w:rPr>
      </w:pPr>
      <w:r>
        <w:rPr>
          <w:rFonts w:hint="eastAsia" w:hAnsi="宋体" w:cs="宋体"/>
          <w:color w:val="auto"/>
          <w:spacing w:val="0"/>
          <w:kern w:val="2"/>
          <w:sz w:val="32"/>
          <w:szCs w:val="32"/>
          <w:lang w:val="en-US" w:eastAsia="zh-CN" w:bidi="ar"/>
        </w:rPr>
        <w:t>4.</w:t>
      </w:r>
      <w:r>
        <w:rPr>
          <w:rFonts w:hint="default" w:ascii="仿宋_GB2312" w:hAnsi="宋体" w:eastAsia="仿宋_GB2312" w:cs="宋体"/>
          <w:color w:val="auto"/>
          <w:spacing w:val="0"/>
          <w:kern w:val="2"/>
          <w:sz w:val="32"/>
          <w:szCs w:val="32"/>
          <w:lang w:val="en-US" w:eastAsia="zh-CN" w:bidi="ar"/>
        </w:rPr>
        <w:t>对于2023年认定和复核通过的专精特新企业，不推荐复核的</w:t>
      </w:r>
      <w:r>
        <w:rPr>
          <w:rFonts w:hint="default" w:ascii="仿宋_GB2312" w:hAnsi="宋体" w:eastAsia="仿宋_GB2312" w:cs="宋体"/>
          <w:color w:val="auto"/>
          <w:spacing w:val="0"/>
          <w:kern w:val="2"/>
          <w:sz w:val="32"/>
          <w:szCs w:val="32"/>
          <w:lang w:eastAsia="zh-CN" w:bidi="ar"/>
        </w:rPr>
        <w:t>(包括未申报复核的）</w:t>
      </w:r>
      <w:r>
        <w:rPr>
          <w:rFonts w:hint="default" w:ascii="仿宋_GB2312" w:hAnsi="宋体" w:eastAsia="仿宋_GB2312" w:cs="宋体"/>
          <w:color w:val="auto"/>
          <w:spacing w:val="0"/>
          <w:kern w:val="2"/>
          <w:sz w:val="32"/>
          <w:szCs w:val="32"/>
          <w:lang w:val="en-US" w:eastAsia="zh-CN" w:bidi="ar"/>
        </w:rPr>
        <w:t>，</w:t>
      </w:r>
      <w:r>
        <w:rPr>
          <w:rFonts w:hint="eastAsia" w:hAnsi="宋体" w:cs="宋体"/>
          <w:color w:val="auto"/>
          <w:spacing w:val="0"/>
          <w:kern w:val="2"/>
          <w:sz w:val="32"/>
          <w:szCs w:val="32"/>
          <w:lang w:val="en-US" w:eastAsia="zh-CN" w:bidi="ar"/>
        </w:rPr>
        <w:t>所在县（市、区）、园区工信</w:t>
      </w:r>
      <w:r>
        <w:rPr>
          <w:rFonts w:hint="default" w:ascii="仿宋_GB2312" w:hAnsi="宋体" w:eastAsia="仿宋_GB2312" w:cs="宋体"/>
          <w:color w:val="auto"/>
          <w:spacing w:val="0"/>
          <w:kern w:val="2"/>
          <w:sz w:val="32"/>
          <w:szCs w:val="32"/>
          <w:lang w:val="en-US" w:eastAsia="zh-CN" w:bidi="ar"/>
        </w:rPr>
        <w:t>部门应在推荐文件中一并说明原因。</w:t>
      </w:r>
    </w:p>
    <w:p w14:paraId="115F1BFE">
      <w:pPr>
        <w:rPr>
          <w:rFonts w:hint="eastAsia"/>
        </w:rPr>
      </w:pPr>
      <w:r>
        <w:rPr>
          <w:rFonts w:hint="eastAsia"/>
          <w:lang w:val="en-US" w:eastAsia="zh-CN"/>
        </w:rPr>
        <w:t>5.</w:t>
      </w:r>
      <w:r>
        <w:rPr>
          <w:rFonts w:hint="eastAsia" w:cs="仿宋_GB2312"/>
          <w:color w:val="auto"/>
          <w:sz w:val="32"/>
          <w:szCs w:val="32"/>
          <w:lang w:val="en-US" w:eastAsia="zh-CN"/>
        </w:rPr>
        <w:t>市工信局</w:t>
      </w:r>
      <w:r>
        <w:rPr>
          <w:rFonts w:hint="eastAsia" w:ascii="仿宋_GB2312" w:hAnsi="仿宋_GB2312" w:eastAsia="仿宋_GB2312" w:cs="仿宋_GB2312"/>
          <w:color w:val="auto"/>
          <w:sz w:val="32"/>
          <w:szCs w:val="32"/>
          <w:lang w:val="en-US" w:eastAsia="zh-CN"/>
        </w:rPr>
        <w:t>从未委托第三方机构或个人代理申报业务，请相关企业按程序向属地中小企业主管部门申报。</w:t>
      </w:r>
      <w:r>
        <w:rPr>
          <w:rFonts w:hint="eastAsia" w:cs="仿宋_GB2312"/>
          <w:color w:val="auto"/>
          <w:sz w:val="32"/>
          <w:szCs w:val="32"/>
          <w:lang w:val="en-US" w:eastAsia="zh-CN"/>
        </w:rPr>
        <w:t>此项</w:t>
      </w:r>
      <w:r>
        <w:rPr>
          <w:rFonts w:hint="eastAsia" w:ascii="仿宋_GB2312" w:hAnsi="仿宋_GB2312" w:eastAsia="仿宋_GB2312" w:cs="仿宋_GB2312"/>
          <w:color w:val="auto"/>
          <w:sz w:val="32"/>
          <w:szCs w:val="32"/>
          <w:lang w:val="en-US" w:eastAsia="zh-CN"/>
        </w:rPr>
        <w:t>申报不收取任何费用，谨防不良中介机构非法牟利。</w:t>
      </w:r>
    </w:p>
    <w:p w14:paraId="129122CF">
      <w:pPr>
        <w:rPr>
          <w:rFonts w:hint="eastAsia"/>
        </w:rPr>
      </w:pPr>
    </w:p>
    <w:p w14:paraId="26D1943C">
      <w:pPr>
        <w:rPr>
          <w:rFonts w:hint="eastAsia"/>
          <w:lang w:val="en-US" w:eastAsia="zh-CN"/>
        </w:rPr>
      </w:pPr>
      <w:r>
        <w:rPr>
          <w:rFonts w:hint="eastAsia"/>
        </w:rPr>
        <w:t>联系人：</w:t>
      </w:r>
      <w:r>
        <w:rPr>
          <w:rFonts w:hint="eastAsia"/>
          <w:lang w:eastAsia="zh-CN"/>
        </w:rPr>
        <w:t>市工信局</w:t>
      </w:r>
      <w:r>
        <w:rPr>
          <w:rFonts w:hint="eastAsia"/>
          <w:lang w:val="en-US" w:eastAsia="zh-CN"/>
        </w:rPr>
        <w:t>中小微企业科  徐健</w:t>
      </w:r>
      <w:r>
        <w:rPr>
          <w:rFonts w:hint="eastAsia"/>
        </w:rPr>
        <w:t xml:space="preserve"> 079</w:t>
      </w:r>
      <w:r>
        <w:rPr>
          <w:rFonts w:hint="eastAsia"/>
          <w:lang w:val="en-US" w:eastAsia="zh-CN"/>
        </w:rPr>
        <w:t>8</w:t>
      </w:r>
      <w:r>
        <w:rPr>
          <w:rFonts w:hint="eastAsia"/>
        </w:rPr>
        <w:t>-</w:t>
      </w:r>
      <w:r>
        <w:rPr>
          <w:rFonts w:hint="eastAsia"/>
          <w:lang w:val="en-US" w:eastAsia="zh-CN"/>
        </w:rPr>
        <w:t>8576507</w:t>
      </w:r>
    </w:p>
    <w:p w14:paraId="2A3FD66F">
      <w:pPr>
        <w:ind w:left="0" w:leftChars="0" w:firstLine="640" w:firstLineChars="200"/>
        <w:rPr>
          <w:rFonts w:hint="eastAsia"/>
        </w:rPr>
      </w:pPr>
      <w:r>
        <w:rPr>
          <w:rFonts w:hint="eastAsia"/>
        </w:rPr>
        <w:t>邮</w:t>
      </w:r>
      <w:r>
        <w:rPr>
          <w:rFonts w:hint="eastAsia"/>
          <w:lang w:val="en-US" w:eastAsia="zh-CN"/>
        </w:rPr>
        <w:t xml:space="preserve">  </w:t>
      </w:r>
      <w:r>
        <w:rPr>
          <w:rFonts w:hint="eastAsia"/>
        </w:rPr>
        <w:t>箱：myk6507@163.com</w:t>
      </w:r>
    </w:p>
    <w:p w14:paraId="49EC9CA7">
      <w:pPr>
        <w:pStyle w:val="13"/>
        <w:rPr>
          <w:rFonts w:hint="eastAsia"/>
          <w:lang w:eastAsia="zh-CN"/>
        </w:rPr>
      </w:pPr>
    </w:p>
    <w:tbl>
      <w:tblPr>
        <w:tblStyle w:val="9"/>
        <w:tblW w:w="90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4"/>
        <w:gridCol w:w="7397"/>
      </w:tblGrid>
      <w:tr w14:paraId="2959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4" w:type="dxa"/>
          </w:tcPr>
          <w:p w14:paraId="35ACD6DC">
            <w:pPr>
              <w:keepNext w:val="0"/>
              <w:keepLines w:val="0"/>
              <w:pageBreakBefore w:val="0"/>
              <w:widowControl w:val="0"/>
              <w:kinsoku/>
              <w:wordWrap/>
              <w:overflowPunct/>
              <w:topLinePunct w:val="0"/>
              <w:autoSpaceDE/>
              <w:autoSpaceDN/>
              <w:bidi w:val="0"/>
              <w:adjustRightInd/>
              <w:snapToGrid/>
              <w:spacing w:line="560" w:lineRule="exact"/>
              <w:ind w:left="1280" w:leftChars="200" w:hanging="640" w:hangingChars="200"/>
              <w:jc w:val="left"/>
              <w:textAlignment w:val="auto"/>
              <w:outlineLvl w:val="9"/>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lang w:eastAsia="zh-CN"/>
              </w:rPr>
              <w:t>附件：</w:t>
            </w:r>
          </w:p>
        </w:tc>
        <w:tc>
          <w:tcPr>
            <w:tcW w:w="7397" w:type="dxa"/>
          </w:tcPr>
          <w:p w14:paraId="607CAD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0" w:firstLineChars="0"/>
              <w:jc w:val="left"/>
              <w:textAlignment w:val="auto"/>
              <w:rPr>
                <w:rFonts w:hint="eastAsia" w:ascii="仿宋_GB2312" w:hAnsi="仿宋_GB2312" w:eastAsia="仿宋_GB2312" w:cs="仿宋_GB2312"/>
                <w:b w:val="0"/>
                <w:bCs w:val="0"/>
                <w:sz w:val="32"/>
                <w:szCs w:val="32"/>
                <w:vertAlign w:val="baseline"/>
                <w:lang w:eastAsia="zh-CN"/>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1.2026年度江西省专精特新中小企业推荐汇总表</w:t>
            </w:r>
          </w:p>
        </w:tc>
      </w:tr>
      <w:tr w14:paraId="01F8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4" w:type="dxa"/>
          </w:tcPr>
          <w:p w14:paraId="5277EBBE">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outlineLvl w:val="9"/>
              <w:rPr>
                <w:rFonts w:hint="eastAsia" w:ascii="仿宋_GB2312" w:hAnsi="仿宋_GB2312" w:eastAsia="仿宋_GB2312" w:cs="仿宋_GB2312"/>
                <w:sz w:val="32"/>
                <w:szCs w:val="32"/>
                <w:vertAlign w:val="baseline"/>
                <w:lang w:eastAsia="zh-CN"/>
              </w:rPr>
            </w:pPr>
          </w:p>
        </w:tc>
        <w:tc>
          <w:tcPr>
            <w:tcW w:w="7397" w:type="dxa"/>
          </w:tcPr>
          <w:p w14:paraId="7C6866F2">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2.</w:t>
            </w:r>
            <w:r>
              <w:rPr>
                <w:rFonts w:hint="eastAsia" w:ascii="仿宋_GB2312" w:hAnsi="仿宋_GB2312" w:eastAsia="仿宋_GB2312" w:cs="仿宋_GB2312"/>
                <w:color w:val="auto"/>
                <w:sz w:val="32"/>
                <w:szCs w:val="32"/>
                <w:lang w:val="en-US" w:eastAsia="zh-CN"/>
              </w:rPr>
              <w:t>2023年度江西省专精特新中小企业复核汇总表</w:t>
            </w:r>
          </w:p>
        </w:tc>
      </w:tr>
      <w:tr w14:paraId="17F6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4" w:type="dxa"/>
          </w:tcPr>
          <w:p w14:paraId="1F63BEA7">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outlineLvl w:val="9"/>
              <w:rPr>
                <w:rFonts w:hint="eastAsia" w:ascii="仿宋_GB2312" w:hAnsi="仿宋_GB2312" w:eastAsia="仿宋_GB2312" w:cs="仿宋_GB2312"/>
                <w:sz w:val="32"/>
                <w:szCs w:val="32"/>
                <w:vertAlign w:val="baseline"/>
                <w:lang w:eastAsia="zh-CN"/>
              </w:rPr>
            </w:pPr>
          </w:p>
        </w:tc>
        <w:tc>
          <w:tcPr>
            <w:tcW w:w="7397" w:type="dxa"/>
          </w:tcPr>
          <w:p w14:paraId="108AD2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0" w:firstLineChars="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3.</w:t>
            </w:r>
            <w:r>
              <w:rPr>
                <w:rFonts w:hint="eastAsia" w:ascii="仿宋_GB2312" w:hAnsi="仿宋_GB2312" w:eastAsia="仿宋_GB2312" w:cs="仿宋_GB2312"/>
                <w:color w:val="auto"/>
                <w:sz w:val="32"/>
                <w:szCs w:val="32"/>
              </w:rPr>
              <w:t>专精特新中小企业认定标准</w:t>
            </w:r>
          </w:p>
        </w:tc>
      </w:tr>
      <w:tr w14:paraId="7DBC0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4" w:type="dxa"/>
          </w:tcPr>
          <w:p w14:paraId="0EF6A8ED">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outlineLvl w:val="9"/>
              <w:rPr>
                <w:rFonts w:hint="eastAsia" w:ascii="仿宋_GB2312" w:hAnsi="仿宋_GB2312" w:eastAsia="仿宋_GB2312" w:cs="仿宋_GB2312"/>
                <w:sz w:val="32"/>
                <w:szCs w:val="32"/>
                <w:vertAlign w:val="baseline"/>
                <w:lang w:eastAsia="zh-CN"/>
              </w:rPr>
            </w:pPr>
          </w:p>
        </w:tc>
        <w:tc>
          <w:tcPr>
            <w:tcW w:w="7397" w:type="dxa"/>
          </w:tcPr>
          <w:p w14:paraId="55DBE9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0" w:firstLineChars="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4.部分指标和要求说明</w:t>
            </w:r>
          </w:p>
        </w:tc>
      </w:tr>
      <w:tr w14:paraId="2EA71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4" w:type="dxa"/>
          </w:tcPr>
          <w:p w14:paraId="5C3C9C45">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outlineLvl w:val="9"/>
              <w:rPr>
                <w:rFonts w:hint="eastAsia" w:ascii="仿宋_GB2312" w:hAnsi="仿宋_GB2312" w:eastAsia="仿宋_GB2312" w:cs="仿宋_GB2312"/>
                <w:sz w:val="32"/>
                <w:szCs w:val="32"/>
                <w:vertAlign w:val="baseline"/>
                <w:lang w:eastAsia="zh-CN"/>
              </w:rPr>
            </w:pPr>
          </w:p>
        </w:tc>
        <w:tc>
          <w:tcPr>
            <w:tcW w:w="7397" w:type="dxa"/>
            <w:vAlign w:val="top"/>
          </w:tcPr>
          <w:p w14:paraId="4F4D1A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0" w:firstLineChars="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cs="仿宋_GB2312"/>
                <w:b w:val="0"/>
                <w:bCs w:val="0"/>
                <w:i w:val="0"/>
                <w:iCs w:val="0"/>
                <w:caps w:val="0"/>
                <w:color w:val="333333"/>
                <w:spacing w:val="0"/>
                <w:kern w:val="0"/>
                <w:sz w:val="32"/>
                <w:szCs w:val="32"/>
                <w:shd w:val="clear" w:fill="FFFFFF"/>
                <w:lang w:val="en-US" w:eastAsia="zh-CN" w:bidi="ar"/>
              </w:rPr>
              <w:t>5</w:t>
            </w: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w:t>
            </w:r>
            <w:r>
              <w:rPr>
                <w:rFonts w:hint="eastAsia" w:ascii="仿宋_GB2312" w:hAnsi="仿宋_GB2312" w:eastAsia="仿宋_GB2312" w:cs="仿宋_GB2312"/>
                <w:color w:val="auto"/>
                <w:sz w:val="32"/>
                <w:szCs w:val="32"/>
                <w:lang w:val="en-US" w:eastAsia="zh-CN"/>
              </w:rPr>
              <w:t>佐证材料参考清单</w:t>
            </w:r>
          </w:p>
        </w:tc>
      </w:tr>
      <w:tr w14:paraId="029E2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4" w:type="dxa"/>
          </w:tcPr>
          <w:p w14:paraId="09238B29">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outlineLvl w:val="9"/>
              <w:rPr>
                <w:rFonts w:hint="eastAsia" w:ascii="仿宋_GB2312" w:hAnsi="仿宋_GB2312" w:eastAsia="仿宋_GB2312" w:cs="仿宋_GB2312"/>
                <w:sz w:val="32"/>
                <w:szCs w:val="32"/>
                <w:vertAlign w:val="baseline"/>
                <w:lang w:eastAsia="zh-CN"/>
              </w:rPr>
            </w:pPr>
          </w:p>
        </w:tc>
        <w:tc>
          <w:tcPr>
            <w:tcW w:w="7397" w:type="dxa"/>
            <w:vAlign w:val="top"/>
          </w:tcPr>
          <w:p w14:paraId="742D3C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0" w:firstLineChars="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cs="仿宋_GB2312"/>
                <w:b w:val="0"/>
                <w:bCs w:val="0"/>
                <w:i w:val="0"/>
                <w:iCs w:val="0"/>
                <w:caps w:val="0"/>
                <w:color w:val="333333"/>
                <w:spacing w:val="0"/>
                <w:kern w:val="0"/>
                <w:sz w:val="32"/>
                <w:szCs w:val="32"/>
                <w:shd w:val="clear" w:fill="FFFFFF"/>
                <w:lang w:val="en-US" w:eastAsia="zh-CN" w:bidi="ar"/>
              </w:rPr>
              <w:t>6</w:t>
            </w: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w:t>
            </w:r>
            <w:r>
              <w:rPr>
                <w:rFonts w:hint="eastAsia" w:ascii="仿宋_GB2312" w:hAnsi="仿宋_GB2312" w:eastAsia="仿宋_GB2312" w:cs="仿宋_GB2312"/>
                <w:color w:val="auto"/>
                <w:sz w:val="32"/>
                <w:szCs w:val="32"/>
                <w:lang w:val="en-US" w:eastAsia="zh-CN"/>
              </w:rPr>
              <w:t>真实性声明和合规经营承诺</w:t>
            </w:r>
          </w:p>
        </w:tc>
      </w:tr>
    </w:tbl>
    <w:p w14:paraId="1175D9C0">
      <w:pPr>
        <w:rPr>
          <w:rFonts w:hint="eastAsia"/>
        </w:rPr>
      </w:pPr>
    </w:p>
    <w:p w14:paraId="384421E8">
      <w:pPr>
        <w:ind w:left="0" w:leftChars="0" w:firstLine="0" w:firstLineChars="0"/>
        <w:rPr>
          <w:rFonts w:hint="eastAsia"/>
        </w:rPr>
      </w:pPr>
    </w:p>
    <w:p w14:paraId="0F521F02">
      <w:pPr>
        <w:ind w:firstLine="4160" w:firstLineChars="1300"/>
        <w:rPr>
          <w:rFonts w:hint="eastAsia"/>
          <w:lang w:val="en-US" w:eastAsia="zh-CN"/>
        </w:rPr>
      </w:pPr>
      <w:r>
        <w:rPr>
          <w:rFonts w:hint="eastAsia"/>
        </w:rPr>
        <w:t>景德镇市</w:t>
      </w:r>
      <w:r>
        <w:rPr>
          <w:rFonts w:hint="eastAsia"/>
          <w:lang w:val="en-US" w:eastAsia="zh-CN"/>
        </w:rPr>
        <w:t>工业和信息化局</w:t>
      </w:r>
    </w:p>
    <w:p w14:paraId="3942954F">
      <w:pPr>
        <w:ind w:firstLine="4800" w:firstLineChars="1500"/>
        <w:rPr>
          <w:rFonts w:hint="eastAsia"/>
        </w:rPr>
        <w:sectPr>
          <w:headerReference r:id="rId5" w:type="default"/>
          <w:footerReference r:id="rId6" w:type="default"/>
          <w:pgSz w:w="11906" w:h="16839"/>
          <w:pgMar w:top="2098" w:right="1474" w:bottom="1984" w:left="1587" w:header="0" w:footer="1054" w:gutter="0"/>
          <w:pgNumType w:fmt="numberInDash"/>
          <w:cols w:space="0" w:num="1"/>
          <w:rtlGutter w:val="0"/>
          <w:docGrid w:linePitch="0" w:charSpace="0"/>
        </w:sectPr>
      </w:pPr>
      <w:r>
        <w:rPr>
          <w:rFonts w:hint="eastAsia"/>
        </w:rPr>
        <w:t>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29</w:t>
      </w:r>
      <w:r>
        <w:rPr>
          <w:rFonts w:hint="eastAsia"/>
        </w:rPr>
        <w:t>日</w:t>
      </w:r>
    </w:p>
    <w:p w14:paraId="7240A25F">
      <w:pPr>
        <w:pStyle w:val="13"/>
        <w:keepNext w:val="0"/>
        <w:keepLines w:val="0"/>
        <w:pageBreakBefore w:val="0"/>
        <w:widowControl w:val="0"/>
        <w:kinsoku/>
        <w:wordWrap/>
        <w:overflowPunct/>
        <w:topLinePunct w:val="0"/>
        <w:autoSpaceDE/>
        <w:autoSpaceDN/>
        <w:bidi w:val="0"/>
        <w:adjustRightInd/>
        <w:spacing w:line="560" w:lineRule="exact"/>
        <w:ind w:left="0" w:leftChars="0" w:firstLine="0" w:firstLineChars="0"/>
        <w:jc w:val="both"/>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w:t>
      </w:r>
      <w:r>
        <w:rPr>
          <w:rFonts w:hint="default" w:ascii="黑体" w:hAnsi="黑体" w:eastAsia="黑体" w:cs="黑体"/>
          <w:kern w:val="2"/>
          <w:sz w:val="32"/>
          <w:szCs w:val="32"/>
          <w:lang w:val="en-US" w:eastAsia="zh-CN" w:bidi="ar-SA"/>
        </w:rPr>
        <w:t>1</w:t>
      </w:r>
    </w:p>
    <w:p w14:paraId="1926E5BD">
      <w:pPr>
        <w:keepNext w:val="0"/>
        <w:keepLines w:val="0"/>
        <w:pageBreakBefore w:val="0"/>
        <w:kinsoku/>
        <w:wordWrap/>
        <w:overflowPunct/>
        <w:topLinePunct w:val="0"/>
        <w:autoSpaceDE/>
        <w:autoSpaceDN/>
        <w:bidi w:val="0"/>
        <w:adjustRightInd/>
        <w:spacing w:line="560" w:lineRule="exact"/>
        <w:ind w:left="0" w:leftChars="0" w:firstLine="720" w:firstLineChars="200"/>
        <w:jc w:val="center"/>
        <w:textAlignment w:val="auto"/>
        <w:outlineLvl w:val="9"/>
        <w:rPr>
          <w:rFonts w:hint="eastAsia" w:ascii="方正小标宋简体" w:hAnsi="方正小标宋简体" w:eastAsia="方正小标宋简体" w:cs="方正小标宋简体"/>
          <w:b w:val="0"/>
          <w:bCs/>
          <w:color w:val="auto"/>
          <w:sz w:val="36"/>
          <w:szCs w:val="36"/>
          <w:lang w:val="en-US" w:eastAsia="zh-CN"/>
        </w:rPr>
      </w:pPr>
      <w:r>
        <w:rPr>
          <w:rFonts w:hint="eastAsia" w:ascii="方正小标宋简体" w:hAnsi="方正小标宋简体" w:eastAsia="方正小标宋简体" w:cs="方正小标宋简体"/>
          <w:b w:val="0"/>
          <w:bCs/>
          <w:color w:val="auto"/>
          <w:sz w:val="36"/>
          <w:szCs w:val="36"/>
          <w:lang w:val="en-US" w:eastAsia="zh-CN"/>
        </w:rPr>
        <w:t>2026年度江西省专精特新中小企业推荐汇总表</w:t>
      </w:r>
    </w:p>
    <w:p w14:paraId="0EBBF8A2">
      <w:pPr>
        <w:keepNext w:val="0"/>
        <w:keepLines w:val="0"/>
        <w:pageBreakBefore w:val="0"/>
        <w:tabs>
          <w:tab w:val="left" w:pos="9030"/>
        </w:tabs>
        <w:kinsoku/>
        <w:wordWrap/>
        <w:overflowPunct/>
        <w:topLinePunct w:val="0"/>
        <w:autoSpaceDE/>
        <w:autoSpaceDN/>
        <w:bidi w:val="0"/>
        <w:adjustRightInd/>
        <w:spacing w:line="560" w:lineRule="exact"/>
        <w:ind w:left="0" w:leftChars="0" w:firstLine="0" w:firstLineChars="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推荐单位（盖章）：</w:t>
      </w:r>
      <w:r>
        <w:rPr>
          <w:rFonts w:hint="eastAsia" w:ascii="仿宋_GB2312" w:hAnsi="仿宋_GB2312" w:eastAsia="仿宋_GB2312" w:cs="仿宋_GB2312"/>
          <w:color w:val="auto"/>
          <w:sz w:val="32"/>
          <w:szCs w:val="32"/>
          <w:u w:val="single"/>
          <w:lang w:val="en-US" w:eastAsia="zh-CN"/>
        </w:rPr>
        <w:t xml:space="preserve">                     </w:t>
      </w:r>
    </w:p>
    <w:tbl>
      <w:tblPr>
        <w:tblStyle w:val="8"/>
        <w:tblW w:w="137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4"/>
        <w:gridCol w:w="1144"/>
        <w:gridCol w:w="1144"/>
        <w:gridCol w:w="1144"/>
        <w:gridCol w:w="1144"/>
        <w:gridCol w:w="1144"/>
        <w:gridCol w:w="1144"/>
        <w:gridCol w:w="1144"/>
        <w:gridCol w:w="4594"/>
      </w:tblGrid>
      <w:tr w14:paraId="17586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105DEE4E">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783D2C24">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企业名称</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088AC8BC">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所属县区</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6C6542B5">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主导产品名称</w:t>
            </w:r>
          </w:p>
        </w:tc>
        <w:tc>
          <w:tcPr>
            <w:tcW w:w="1144" w:type="dxa"/>
            <w:vMerge w:val="restart"/>
            <w:tcBorders>
              <w:top w:val="single" w:color="000000" w:sz="4" w:space="0"/>
              <w:left w:val="single" w:color="000000" w:sz="4" w:space="0"/>
              <w:right w:val="single" w:color="000000" w:sz="4" w:space="0"/>
            </w:tcBorders>
            <w:noWrap w:val="0"/>
            <w:vAlign w:val="center"/>
          </w:tcPr>
          <w:p w14:paraId="6F47512C">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所属行业</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334205B3">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近三年是否发生重大事故或违法违规行为</w:t>
            </w:r>
          </w:p>
        </w:tc>
        <w:tc>
          <w:tcPr>
            <w:tcW w:w="2288" w:type="dxa"/>
            <w:gridSpan w:val="2"/>
            <w:tcBorders>
              <w:top w:val="single" w:color="000000" w:sz="4" w:space="0"/>
              <w:left w:val="single" w:color="000000" w:sz="4" w:space="0"/>
              <w:bottom w:val="single" w:color="000000" w:sz="4" w:space="0"/>
              <w:right w:val="single" w:color="000000" w:sz="4" w:space="0"/>
            </w:tcBorders>
            <w:noWrap w:val="0"/>
            <w:vAlign w:val="center"/>
          </w:tcPr>
          <w:p w14:paraId="2EB0D781">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审核情况</w:t>
            </w:r>
          </w:p>
        </w:tc>
        <w:tc>
          <w:tcPr>
            <w:tcW w:w="4594" w:type="dxa"/>
            <w:vMerge w:val="restart"/>
            <w:tcBorders>
              <w:top w:val="single" w:color="000000" w:sz="4" w:space="0"/>
              <w:left w:val="single" w:color="000000" w:sz="4" w:space="0"/>
              <w:right w:val="single" w:color="000000" w:sz="4" w:space="0"/>
            </w:tcBorders>
            <w:noWrap w:val="0"/>
            <w:vAlign w:val="center"/>
          </w:tcPr>
          <w:p w14:paraId="1A480C96">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color w:val="000000"/>
                <w:kern w:val="0"/>
                <w:sz w:val="21"/>
                <w:szCs w:val="21"/>
                <w:lang w:bidi="ar"/>
              </w:rPr>
              <w:t>企业概况（用200字以内的篇幅简要介绍企业主导产品或主营业务、技术创新能力、与龙头企业配套情况、市场地位等情况）</w:t>
            </w:r>
          </w:p>
        </w:tc>
      </w:tr>
      <w:tr w14:paraId="58F5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2C6D0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8D0C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00B78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4DA93">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left w:val="single" w:color="000000" w:sz="4" w:space="0"/>
              <w:bottom w:val="single" w:color="000000" w:sz="4" w:space="0"/>
              <w:right w:val="single" w:color="000000" w:sz="4" w:space="0"/>
            </w:tcBorders>
            <w:noWrap w:val="0"/>
            <w:vAlign w:val="center"/>
          </w:tcPr>
          <w:p w14:paraId="461F5D7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0173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9C3DCBE">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both"/>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佐证材料是否完备、有效</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9BE9EBE">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是否符合推荐条件</w:t>
            </w:r>
          </w:p>
        </w:tc>
        <w:tc>
          <w:tcPr>
            <w:tcW w:w="4594" w:type="dxa"/>
            <w:vMerge w:val="continue"/>
            <w:tcBorders>
              <w:left w:val="single" w:color="000000" w:sz="4" w:space="0"/>
              <w:bottom w:val="single" w:color="000000" w:sz="4" w:space="0"/>
              <w:right w:val="single" w:color="000000" w:sz="4" w:space="0"/>
            </w:tcBorders>
            <w:noWrap w:val="0"/>
            <w:vAlign w:val="center"/>
          </w:tcPr>
          <w:p w14:paraId="6348262D">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p>
        </w:tc>
      </w:tr>
      <w:tr w14:paraId="40B8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79419A1">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1E68268">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F236DD3">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8BF47A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48FFE5D">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4ECE17C">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是/否</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252A96E9">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是/否</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43FDED7">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是/否</w:t>
            </w:r>
          </w:p>
        </w:tc>
        <w:tc>
          <w:tcPr>
            <w:tcW w:w="4594" w:type="dxa"/>
            <w:tcBorders>
              <w:top w:val="single" w:color="000000" w:sz="4" w:space="0"/>
              <w:left w:val="single" w:color="000000" w:sz="4" w:space="0"/>
              <w:bottom w:val="single" w:color="000000" w:sz="4" w:space="0"/>
              <w:right w:val="single" w:color="000000" w:sz="4" w:space="0"/>
            </w:tcBorders>
            <w:noWrap w:val="0"/>
            <w:vAlign w:val="center"/>
          </w:tcPr>
          <w:p w14:paraId="0027E9AE">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p>
        </w:tc>
      </w:tr>
      <w:tr w14:paraId="48758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A14D18D">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2</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D0E522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1375826">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900931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507D7B1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D198C8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9E885E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6A077B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4594" w:type="dxa"/>
            <w:tcBorders>
              <w:top w:val="single" w:color="000000" w:sz="4" w:space="0"/>
              <w:left w:val="single" w:color="000000" w:sz="4" w:space="0"/>
              <w:bottom w:val="single" w:color="000000" w:sz="4" w:space="0"/>
              <w:right w:val="single" w:color="000000" w:sz="4" w:space="0"/>
            </w:tcBorders>
            <w:noWrap w:val="0"/>
            <w:vAlign w:val="center"/>
          </w:tcPr>
          <w:p w14:paraId="5042095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r>
      <w:tr w14:paraId="2DA37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4F2FFEE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20412D62">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291680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4D00900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4412F8C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3C5C96D">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559284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C05665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4594" w:type="dxa"/>
            <w:tcBorders>
              <w:top w:val="single" w:color="000000" w:sz="4" w:space="0"/>
              <w:left w:val="single" w:color="000000" w:sz="4" w:space="0"/>
              <w:bottom w:val="single" w:color="000000" w:sz="4" w:space="0"/>
              <w:right w:val="single" w:color="000000" w:sz="4" w:space="0"/>
            </w:tcBorders>
            <w:noWrap w:val="0"/>
            <w:vAlign w:val="center"/>
          </w:tcPr>
          <w:p w14:paraId="036A092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r>
    </w:tbl>
    <w:p w14:paraId="5A672F93">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0713F633">
      <w:pPr>
        <w:pStyle w:val="2"/>
        <w:rPr>
          <w:rFonts w:hint="eastAsia"/>
          <w:lang w:val="en-US" w:eastAsia="zh-CN"/>
        </w:rPr>
      </w:pPr>
    </w:p>
    <w:p w14:paraId="4DD788B8">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5C5675CC">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555161EC">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5E3958BA">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2BB5F2BA">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6FBF07D1">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71824BE9">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4AF87E37">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黑体" w:hAnsi="黑体" w:eastAsia="黑体" w:cs="黑体"/>
          <w:sz w:val="32"/>
          <w:szCs w:val="32"/>
          <w:lang w:val="en-US" w:eastAsia="zh-CN"/>
        </w:rPr>
      </w:pPr>
    </w:p>
    <w:p w14:paraId="7E34505D">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黑体" w:hAnsi="黑体" w:eastAsia="黑体" w:cs="黑体"/>
          <w:sz w:val="32"/>
          <w:szCs w:val="32"/>
          <w:lang w:val="en-US" w:eastAsia="zh-CN"/>
        </w:rPr>
        <w:t>2</w:t>
      </w:r>
    </w:p>
    <w:p w14:paraId="6EB9A846">
      <w:pPr>
        <w:keepNext w:val="0"/>
        <w:keepLines w:val="0"/>
        <w:pageBreakBefore w:val="0"/>
        <w:kinsoku/>
        <w:wordWrap/>
        <w:overflowPunct/>
        <w:topLinePunct w:val="0"/>
        <w:autoSpaceDE/>
        <w:autoSpaceDN/>
        <w:bidi w:val="0"/>
        <w:adjustRightInd/>
        <w:spacing w:line="560" w:lineRule="exact"/>
        <w:ind w:left="0" w:leftChars="0" w:firstLine="720" w:firstLineChars="200"/>
        <w:jc w:val="center"/>
        <w:textAlignment w:val="auto"/>
        <w:outlineLvl w:val="9"/>
        <w:rPr>
          <w:rFonts w:hint="eastAsia" w:ascii="方正小标宋简体" w:hAnsi="方正小标宋简体" w:eastAsia="方正小标宋简体" w:cs="方正小标宋简体"/>
          <w:b w:val="0"/>
          <w:bCs/>
          <w:color w:val="auto"/>
          <w:sz w:val="36"/>
          <w:szCs w:val="36"/>
          <w:lang w:val="en-US" w:eastAsia="zh-CN"/>
        </w:rPr>
      </w:pPr>
      <w:r>
        <w:rPr>
          <w:rFonts w:hint="eastAsia" w:ascii="方正小标宋简体" w:hAnsi="方正小标宋简体" w:eastAsia="方正小标宋简体" w:cs="方正小标宋简体"/>
          <w:b w:val="0"/>
          <w:bCs/>
          <w:color w:val="auto"/>
          <w:sz w:val="36"/>
          <w:szCs w:val="36"/>
          <w:lang w:val="en-US" w:eastAsia="zh-CN"/>
        </w:rPr>
        <w:t>2023年度江西省专精特新中小企业复核推荐汇总表</w:t>
      </w:r>
    </w:p>
    <w:p w14:paraId="6BA9A92C">
      <w:pPr>
        <w:keepNext w:val="0"/>
        <w:keepLines w:val="0"/>
        <w:pageBreakBefore w:val="0"/>
        <w:kinsoku/>
        <w:wordWrap/>
        <w:overflowPunct/>
        <w:topLinePunct w:val="0"/>
        <w:autoSpaceDE/>
        <w:autoSpaceDN/>
        <w:bidi w:val="0"/>
        <w:adjustRightInd/>
        <w:spacing w:line="560" w:lineRule="exact"/>
        <w:ind w:left="0" w:leftChars="0" w:firstLine="0" w:firstLineChars="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推荐单位（盖章）：</w:t>
      </w:r>
      <w:r>
        <w:rPr>
          <w:rFonts w:hint="eastAsia" w:ascii="仿宋_GB2312" w:hAnsi="仿宋_GB2312" w:eastAsia="仿宋_GB2312" w:cs="仿宋_GB2312"/>
          <w:color w:val="auto"/>
          <w:sz w:val="32"/>
          <w:szCs w:val="32"/>
          <w:u w:val="single"/>
          <w:lang w:val="en-US" w:eastAsia="zh-CN"/>
        </w:rPr>
        <w:t xml:space="preserve">                     </w:t>
      </w:r>
    </w:p>
    <w:tbl>
      <w:tblPr>
        <w:tblStyle w:val="8"/>
        <w:tblW w:w="137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4"/>
        <w:gridCol w:w="1144"/>
        <w:gridCol w:w="1144"/>
        <w:gridCol w:w="1144"/>
        <w:gridCol w:w="1144"/>
        <w:gridCol w:w="1144"/>
        <w:gridCol w:w="1144"/>
        <w:gridCol w:w="1144"/>
        <w:gridCol w:w="4594"/>
      </w:tblGrid>
      <w:tr w14:paraId="67060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405C774B">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2C964506">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企业名称</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681738FB">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所属县区</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45AABD37">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主导产品名称</w:t>
            </w:r>
          </w:p>
        </w:tc>
        <w:tc>
          <w:tcPr>
            <w:tcW w:w="1144" w:type="dxa"/>
            <w:vMerge w:val="restart"/>
            <w:tcBorders>
              <w:top w:val="single" w:color="000000" w:sz="4" w:space="0"/>
              <w:left w:val="single" w:color="000000" w:sz="4" w:space="0"/>
              <w:right w:val="single" w:color="000000" w:sz="4" w:space="0"/>
            </w:tcBorders>
            <w:noWrap w:val="0"/>
            <w:vAlign w:val="center"/>
          </w:tcPr>
          <w:p w14:paraId="2715FE0A">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所属行业</w:t>
            </w:r>
          </w:p>
        </w:tc>
        <w:tc>
          <w:tcPr>
            <w:tcW w:w="1144" w:type="dxa"/>
            <w:vMerge w:val="restart"/>
            <w:tcBorders>
              <w:top w:val="single" w:color="000000" w:sz="4" w:space="0"/>
              <w:left w:val="single" w:color="000000" w:sz="4" w:space="0"/>
              <w:bottom w:val="single" w:color="000000" w:sz="4" w:space="0"/>
              <w:right w:val="single" w:color="000000" w:sz="4" w:space="0"/>
            </w:tcBorders>
            <w:noWrap w:val="0"/>
            <w:vAlign w:val="center"/>
          </w:tcPr>
          <w:p w14:paraId="5FC72982">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近三年是否发生重大事故或违法违规行为</w:t>
            </w:r>
          </w:p>
        </w:tc>
        <w:tc>
          <w:tcPr>
            <w:tcW w:w="2288" w:type="dxa"/>
            <w:gridSpan w:val="2"/>
            <w:tcBorders>
              <w:top w:val="single" w:color="000000" w:sz="4" w:space="0"/>
              <w:left w:val="single" w:color="000000" w:sz="4" w:space="0"/>
              <w:bottom w:val="single" w:color="000000" w:sz="4" w:space="0"/>
              <w:right w:val="single" w:color="000000" w:sz="4" w:space="0"/>
            </w:tcBorders>
            <w:noWrap w:val="0"/>
            <w:vAlign w:val="center"/>
          </w:tcPr>
          <w:p w14:paraId="20A8233D">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审核情况</w:t>
            </w:r>
          </w:p>
        </w:tc>
        <w:tc>
          <w:tcPr>
            <w:tcW w:w="4594" w:type="dxa"/>
            <w:vMerge w:val="restart"/>
            <w:tcBorders>
              <w:top w:val="single" w:color="000000" w:sz="4" w:space="0"/>
              <w:left w:val="single" w:color="000000" w:sz="4" w:space="0"/>
              <w:right w:val="single" w:color="000000" w:sz="4" w:space="0"/>
            </w:tcBorders>
            <w:noWrap w:val="0"/>
            <w:vAlign w:val="center"/>
          </w:tcPr>
          <w:p w14:paraId="3DAAA37C">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color w:val="000000"/>
                <w:kern w:val="0"/>
                <w:sz w:val="21"/>
                <w:szCs w:val="21"/>
                <w:lang w:bidi="ar"/>
              </w:rPr>
              <w:t>企业概况（用200字以内的篇幅简要介绍企业主导产品或主营业务、技术创新能力、与龙头企业配套情况、市场地位等情况）</w:t>
            </w:r>
          </w:p>
        </w:tc>
      </w:tr>
      <w:tr w14:paraId="6E693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58F31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C8F4D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528DB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DA4B2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left w:val="single" w:color="000000" w:sz="4" w:space="0"/>
              <w:bottom w:val="single" w:color="000000" w:sz="4" w:space="0"/>
              <w:right w:val="single" w:color="000000" w:sz="4" w:space="0"/>
            </w:tcBorders>
            <w:noWrap w:val="0"/>
            <w:vAlign w:val="center"/>
          </w:tcPr>
          <w:p w14:paraId="6F6FD33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16DB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11F9FAB">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both"/>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佐证材料是否完备、有效</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9988A55">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是否符合推荐条件</w:t>
            </w:r>
          </w:p>
        </w:tc>
        <w:tc>
          <w:tcPr>
            <w:tcW w:w="4594" w:type="dxa"/>
            <w:vMerge w:val="continue"/>
            <w:tcBorders>
              <w:left w:val="single" w:color="000000" w:sz="4" w:space="0"/>
              <w:bottom w:val="single" w:color="000000" w:sz="4" w:space="0"/>
              <w:right w:val="single" w:color="000000" w:sz="4" w:space="0"/>
            </w:tcBorders>
            <w:noWrap w:val="0"/>
            <w:vAlign w:val="center"/>
          </w:tcPr>
          <w:p w14:paraId="1DA34740">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p>
        </w:tc>
      </w:tr>
      <w:tr w14:paraId="62ADF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D9B572C">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BC6D032">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08FCC5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8A713DF">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8753FD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C50B154">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是/否</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7A996411">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是/否</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5761FC28">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是/否</w:t>
            </w:r>
          </w:p>
        </w:tc>
        <w:tc>
          <w:tcPr>
            <w:tcW w:w="4594" w:type="dxa"/>
            <w:tcBorders>
              <w:top w:val="single" w:color="000000" w:sz="4" w:space="0"/>
              <w:left w:val="single" w:color="000000" w:sz="4" w:space="0"/>
              <w:bottom w:val="single" w:color="000000" w:sz="4" w:space="0"/>
              <w:right w:val="single" w:color="000000" w:sz="4" w:space="0"/>
            </w:tcBorders>
            <w:noWrap w:val="0"/>
            <w:vAlign w:val="center"/>
          </w:tcPr>
          <w:p w14:paraId="11E59AF9">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eastAsia" w:ascii="宋体" w:hAnsi="宋体" w:eastAsia="宋体" w:cs="宋体"/>
                <w:i w:val="0"/>
                <w:color w:val="000000"/>
                <w:sz w:val="21"/>
                <w:szCs w:val="21"/>
                <w:u w:val="none"/>
              </w:rPr>
            </w:pPr>
          </w:p>
        </w:tc>
      </w:tr>
      <w:tr w14:paraId="7C93B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50DEB3F3">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2</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641338E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47A7AD5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6B9AF73">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338D211D">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25ED448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54BB01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406552D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4594" w:type="dxa"/>
            <w:tcBorders>
              <w:top w:val="single" w:color="000000" w:sz="4" w:space="0"/>
              <w:left w:val="single" w:color="000000" w:sz="4" w:space="0"/>
              <w:bottom w:val="single" w:color="000000" w:sz="4" w:space="0"/>
              <w:right w:val="single" w:color="000000" w:sz="4" w:space="0"/>
            </w:tcBorders>
            <w:noWrap w:val="0"/>
            <w:vAlign w:val="center"/>
          </w:tcPr>
          <w:p w14:paraId="27DD992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1"/>
                <w:szCs w:val="21"/>
                <w:u w:val="none"/>
              </w:rPr>
            </w:pPr>
          </w:p>
        </w:tc>
      </w:tr>
      <w:tr w14:paraId="1FA77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4" w:type="dxa"/>
            <w:tcBorders>
              <w:top w:val="single" w:color="000000" w:sz="4" w:space="0"/>
              <w:left w:val="single" w:color="000000" w:sz="4" w:space="0"/>
              <w:bottom w:val="single" w:color="000000" w:sz="4" w:space="0"/>
              <w:right w:val="single" w:color="000000" w:sz="4" w:space="0"/>
            </w:tcBorders>
            <w:noWrap w:val="0"/>
            <w:vAlign w:val="center"/>
          </w:tcPr>
          <w:p w14:paraId="22C1596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2F8E1ECF">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221693AA">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1639AD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50C1930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10405C86">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49BBA66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14:paraId="05F68F7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eastAsia" w:ascii="宋体" w:hAnsi="宋体" w:eastAsia="宋体" w:cs="宋体"/>
                <w:i w:val="0"/>
                <w:color w:val="000000"/>
                <w:sz w:val="22"/>
                <w:szCs w:val="22"/>
                <w:u w:val="none"/>
              </w:rPr>
            </w:pPr>
          </w:p>
        </w:tc>
        <w:tc>
          <w:tcPr>
            <w:tcW w:w="4594" w:type="dxa"/>
            <w:tcBorders>
              <w:top w:val="single" w:color="000000" w:sz="4" w:space="0"/>
              <w:left w:val="single" w:color="000000" w:sz="4" w:space="0"/>
              <w:bottom w:val="single" w:color="000000" w:sz="4" w:space="0"/>
              <w:right w:val="single" w:color="000000" w:sz="4" w:space="0"/>
            </w:tcBorders>
            <w:noWrap w:val="0"/>
            <w:vAlign w:val="center"/>
          </w:tcPr>
          <w:p w14:paraId="76BA84A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rPr>
                <w:rFonts w:hint="default" w:ascii="Calibri" w:hAnsi="Calibri" w:eastAsia="宋体" w:cs="Calibri"/>
                <w:i w:val="0"/>
                <w:color w:val="000000"/>
                <w:sz w:val="21"/>
                <w:szCs w:val="21"/>
                <w:u w:val="none"/>
              </w:rPr>
            </w:pPr>
          </w:p>
        </w:tc>
      </w:tr>
    </w:tbl>
    <w:p w14:paraId="1C2DF35F">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sectPr>
          <w:pgSz w:w="16838" w:h="11906" w:orient="landscape"/>
          <w:pgMar w:top="1644" w:right="1757" w:bottom="1417" w:left="1417" w:header="1474" w:footer="1304" w:gutter="0"/>
          <w:pgNumType w:fmt="numberInDash"/>
          <w:cols w:space="720" w:num="1"/>
          <w:rtlGutter w:val="0"/>
          <w:docGrid w:type="lines" w:linePitch="315" w:charSpace="0"/>
        </w:sectPr>
      </w:pPr>
    </w:p>
    <w:p w14:paraId="17741502">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2F44DA80">
      <w:pPr>
        <w:pStyle w:val="2"/>
        <w:rPr>
          <w:rFonts w:hint="default"/>
          <w:lang w:val="en-US" w:eastAsia="zh-CN"/>
        </w:rPr>
      </w:pPr>
    </w:p>
    <w:p w14:paraId="699CB81C">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专精特新中小企业认定标准</w:t>
      </w:r>
    </w:p>
    <w:p w14:paraId="6835110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p>
    <w:p w14:paraId="74D8032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需同时满足以下六项指标：</w:t>
      </w:r>
    </w:p>
    <w:p w14:paraId="4D7012D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（一）已获得科技和创新型中小企业称号，截至上年末从事特定细分市场时间达3年以上。</w:t>
      </w:r>
    </w:p>
    <w:p w14:paraId="6FAF1392">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（二）上年度营业收入总额达1500万元以上或近两年新增股权投资（合格机构投资者的实缴额）总额2000万元以上，主营业务收入总额占营业收入总额比重不低于80%，上年末资产负债率不超过80%。</w:t>
      </w:r>
    </w:p>
    <w:p w14:paraId="2122185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（三）近两年研发费用均不低于100万元，且每年占营业收入比重均不低于3%。</w:t>
      </w:r>
    </w:p>
    <w:p w14:paraId="70C2F82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（四）拥有1项以上与主导产品相关的Ⅰ类知识产权，且实际应用并已产生经济效益。对近三年获得省部级以上科学技术奖励（排名前三）或拥有经认定的省部级以上研发机构的企业，不考察本项指标。</w:t>
      </w:r>
    </w:p>
    <w:p w14:paraId="28819B6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（五）主导产品在国内或国际细分市场占有率较为靠前，且享有一定知名度、影响力。</w:t>
      </w:r>
    </w:p>
    <w:p w14:paraId="6F142BAB">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（六）本年度中小企业专精特新发展评价得分达50分以上（复核企业近两年任意一年达50分以上即可）。指标体系见《中小企业专精特新发展评价指标体系（试行）》。</w:t>
      </w:r>
    </w:p>
    <w:p w14:paraId="532513D1">
      <w:pPr>
        <w:keepNext w:val="0"/>
        <w:keepLines w:val="0"/>
        <w:pageBreakBefore w:val="0"/>
        <w:kinsoku/>
        <w:wordWrap/>
        <w:overflowPunct/>
        <w:topLinePunct w:val="0"/>
        <w:autoSpaceDE/>
        <w:autoSpaceDN/>
        <w:bidi w:val="0"/>
        <w:adjustRightInd/>
        <w:snapToGrid w:val="0"/>
        <w:spacing w:line="560" w:lineRule="exact"/>
        <w:ind w:left="0" w:leftChars="0"/>
        <w:jc w:val="center"/>
        <w:textAlignment w:val="auto"/>
        <w:rPr>
          <w:rFonts w:hint="default" w:ascii="方正小标宋简体" w:hAnsi="方正小标宋简体" w:eastAsia="方正小标宋简体" w:cs="方正小标宋简体"/>
          <w:color w:val="auto"/>
          <w:sz w:val="36"/>
          <w:szCs w:val="36"/>
          <w:lang w:val="en-US" w:eastAsia="zh-CN"/>
        </w:rPr>
        <w:sectPr>
          <w:pgSz w:w="11906" w:h="16838"/>
          <w:pgMar w:top="1757" w:right="1417" w:bottom="1417" w:left="1644" w:header="1474" w:footer="1304" w:gutter="0"/>
          <w:pgNumType w:fmt="numberInDash"/>
          <w:cols w:space="720" w:num="1"/>
          <w:rtlGutter w:val="0"/>
          <w:docGrid w:type="lines" w:linePitch="315" w:charSpace="0"/>
        </w:sectPr>
      </w:pPr>
    </w:p>
    <w:p w14:paraId="4CF38235">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zh-CN" w:eastAsia="zh-CN"/>
        </w:rPr>
        <w:t>附件</w:t>
      </w:r>
      <w:r>
        <w:rPr>
          <w:rFonts w:hint="eastAsia" w:ascii="黑体" w:hAnsi="黑体" w:eastAsia="黑体" w:cs="黑体"/>
          <w:sz w:val="32"/>
          <w:szCs w:val="32"/>
          <w:lang w:val="en-US" w:eastAsia="zh-CN"/>
        </w:rPr>
        <w:t>4</w:t>
      </w:r>
    </w:p>
    <w:p w14:paraId="3DC08DD7">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0" w:firstLineChars="0"/>
        <w:jc w:val="center"/>
        <w:textAlignment w:val="auto"/>
        <w:outlineLvl w:val="1"/>
        <w:rPr>
          <w:rFonts w:hint="default" w:ascii="Times New Roman" w:hAnsi="Times New Roman" w:eastAsia="方正小标宋_GBK" w:cs="Times New Roman"/>
          <w:color w:val="auto"/>
          <w:sz w:val="36"/>
          <w:szCs w:val="36"/>
          <w:highlight w:val="none"/>
          <w:lang w:val="zh-CN" w:eastAsia="zh-CN" w:bidi="hi-IN"/>
        </w:rPr>
      </w:pPr>
      <w:r>
        <w:rPr>
          <w:rFonts w:hint="default" w:ascii="Times New Roman" w:hAnsi="Times New Roman" w:eastAsia="方正小标宋_GBK" w:cs="Times New Roman"/>
          <w:color w:val="auto"/>
          <w:sz w:val="36"/>
          <w:szCs w:val="36"/>
          <w:highlight w:val="none"/>
          <w:lang w:val="zh-CN" w:eastAsia="zh-CN" w:bidi="hi-IN"/>
        </w:rPr>
        <w:t>部分指标和要求说明</w:t>
      </w:r>
    </w:p>
    <w:p w14:paraId="269A33F9">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zh-CN" w:eastAsia="zh-CN" w:bidi="hi-IN"/>
        </w:rPr>
      </w:pPr>
    </w:p>
    <w:p w14:paraId="39F6C836">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（一）指标中如对期限无特殊说明，以企业上一会计年度审计报告期末数为准。对于存在子公司或母公司的企业，按财政部印发的《企业会计准则》有关规定执行。</w:t>
      </w:r>
    </w:p>
    <w:p w14:paraId="63ED48C5">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二</w:t>
      </w:r>
      <w:r>
        <w:rPr>
          <w:rFonts w:hint="default" w:ascii="仿宋_GB2312" w:hAnsi="仿宋_GB2312" w:eastAsia="仿宋_GB2312" w:cs="仿宋_GB2312"/>
          <w:color w:val="auto"/>
          <w:kern w:val="2"/>
          <w:sz w:val="32"/>
          <w:szCs w:val="32"/>
          <w:lang w:val="zh-CN" w:eastAsia="zh-CN" w:bidi="ar-SA"/>
        </w:rPr>
        <w:t>）所称“较大生产安全事故、重大网络和数据安全事件、重大环境违法行为、严重质量问题、严重违反相关行业管理规定”包含更加严重的情形，以生产安全、网络安全、数据安全、环境保护、产品质量等监管部门以及相关行业主管部门，依据《中华人民共和国安全生产法》《生产安全事故报告和调查处理条例》《中华人民共和国网络安全法》《国家网络安全事件报告管理办法》《中华人民共和国数据安全法》《工业和信息化领域数据安全事件应急预案》《中华人民共和国环境保护法》《中华人民共和国产品质量法》等法律法规，最高人民法院、最高人民检察院司法解释，部门规章以及地方法规等判定结果为准。</w:t>
      </w:r>
    </w:p>
    <w:p w14:paraId="6BCE9BCC">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三</w:t>
      </w:r>
      <w:r>
        <w:rPr>
          <w:rFonts w:hint="default" w:ascii="仿宋_GB2312" w:hAnsi="仿宋_GB2312" w:eastAsia="仿宋_GB2312" w:cs="仿宋_GB2312"/>
          <w:color w:val="auto"/>
          <w:kern w:val="2"/>
          <w:sz w:val="32"/>
          <w:szCs w:val="32"/>
          <w:lang w:val="zh-CN" w:eastAsia="zh-CN" w:bidi="ar-SA"/>
        </w:rPr>
        <w:t>）所称“主导产品”是指企业核心技术在产品中发挥重要作用，且产品收入之和占企业同期营业收入比重超过50%。</w:t>
      </w:r>
    </w:p>
    <w:p w14:paraId="59C1D873">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四</w:t>
      </w:r>
      <w:r>
        <w:rPr>
          <w:rFonts w:hint="default" w:ascii="仿宋_GB2312" w:hAnsi="仿宋_GB2312" w:eastAsia="仿宋_GB2312" w:cs="仿宋_GB2312"/>
          <w:color w:val="auto"/>
          <w:kern w:val="2"/>
          <w:sz w:val="32"/>
          <w:szCs w:val="32"/>
          <w:lang w:val="zh-CN" w:eastAsia="zh-CN" w:bidi="ar-SA"/>
        </w:rPr>
        <w:t>）所称“经认定的省部级研发机构”包括省部级政府部门认定的技术研究院、技术工程中心、设计中心、重点实验室等各类研发机构。</w:t>
      </w:r>
    </w:p>
    <w:p w14:paraId="4C674499">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五</w:t>
      </w:r>
      <w:r>
        <w:rPr>
          <w:rFonts w:hint="default" w:ascii="仿宋_GB2312" w:hAnsi="仿宋_GB2312" w:eastAsia="仿宋_GB2312" w:cs="仿宋_GB2312"/>
          <w:color w:val="auto"/>
          <w:kern w:val="2"/>
          <w:sz w:val="32"/>
          <w:szCs w:val="32"/>
          <w:lang w:val="zh-CN" w:eastAsia="zh-CN" w:bidi="ar-SA"/>
        </w:rPr>
        <w:t>）所称“Ι类知识产权”均不包含转入的Ι类知识产权，且申请企业应在权利人中排名前三；包括发明专利（含国防专利）、植物新品种、国家级农作物品种、国家新药、国家一级中药保护品种、集成电路布图设计专有权。</w:t>
      </w:r>
    </w:p>
    <w:p w14:paraId="4AA80353">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六</w:t>
      </w:r>
      <w:r>
        <w:rPr>
          <w:rFonts w:hint="default" w:ascii="仿宋_GB2312" w:hAnsi="仿宋_GB2312" w:eastAsia="仿宋_GB2312" w:cs="仿宋_GB2312"/>
          <w:color w:val="auto"/>
          <w:kern w:val="2"/>
          <w:sz w:val="32"/>
          <w:szCs w:val="32"/>
          <w:lang w:val="zh-CN" w:eastAsia="zh-CN" w:bidi="ar-SA"/>
        </w:rPr>
        <w:t>）如无特殊说明，所称“以上”、“以下”，包括本数。</w:t>
      </w:r>
    </w:p>
    <w:p w14:paraId="21FF095A">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七</w:t>
      </w:r>
      <w:r>
        <w:rPr>
          <w:rFonts w:hint="default" w:ascii="仿宋_GB2312" w:hAnsi="仿宋_GB2312" w:eastAsia="仿宋_GB2312" w:cs="仿宋_GB2312"/>
          <w:color w:val="auto"/>
          <w:kern w:val="2"/>
          <w:sz w:val="32"/>
          <w:szCs w:val="32"/>
          <w:lang w:val="zh-CN" w:eastAsia="zh-CN" w:bidi="ar-SA"/>
        </w:rPr>
        <w:t>）所称经营异常以国家企业信用信息公示系统（http://www.gsxt.gov.cn）查询结果或省级中小企业主管部门实地核查结果为准；所称“严重失信主体名单”以信用中国（http://www.creditchina.gov.cn）查询结果或有关政府部门出具的失信主体名单为准。</w:t>
      </w:r>
    </w:p>
    <w:p w14:paraId="4D1A83A4">
      <w:pPr>
        <w:pStyle w:val="2"/>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left"/>
        <w:textAlignment w:val="auto"/>
        <w:rPr>
          <w:rFonts w:hint="default" w:ascii="仿宋_GB2312" w:hAnsi="仿宋_GB2312" w:eastAsia="仿宋_GB2312" w:cs="仿宋_GB2312"/>
          <w:color w:val="auto"/>
          <w:kern w:val="2"/>
          <w:sz w:val="32"/>
          <w:szCs w:val="32"/>
          <w:lang w:val="zh-CN" w:eastAsia="zh-CN" w:bidi="ar-SA"/>
        </w:rPr>
      </w:pPr>
      <w:r>
        <w:rPr>
          <w:rFonts w:hint="default"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八</w:t>
      </w:r>
      <w:r>
        <w:rPr>
          <w:rFonts w:hint="default" w:ascii="仿宋_GB2312" w:hAnsi="仿宋_GB2312" w:eastAsia="仿宋_GB2312" w:cs="仿宋_GB2312"/>
          <w:color w:val="auto"/>
          <w:kern w:val="2"/>
          <w:sz w:val="32"/>
          <w:szCs w:val="32"/>
          <w:lang w:val="zh-CN" w:eastAsia="zh-CN" w:bidi="ar-SA"/>
        </w:rPr>
        <w:t>）企业只需按照自身所获得最高一级称号参加复核</w:t>
      </w:r>
      <w:r>
        <w:rPr>
          <w:rFonts w:hint="eastAsia" w:ascii="仿宋_GB2312" w:hAnsi="仿宋_GB2312" w:eastAsia="仿宋_GB2312" w:cs="仿宋_GB2312"/>
          <w:color w:val="auto"/>
          <w:kern w:val="2"/>
          <w:sz w:val="32"/>
          <w:szCs w:val="32"/>
          <w:lang w:val="zh-CN" w:eastAsia="zh-CN" w:bidi="ar-SA"/>
        </w:rPr>
        <w:t>工作。</w:t>
      </w:r>
    </w:p>
    <w:p w14:paraId="3A803BC1">
      <w:pPr>
        <w:pStyle w:val="2"/>
        <w:rPr>
          <w:rFonts w:hint="default"/>
          <w:highlight w:val="yellow"/>
          <w:lang w:val="en-US" w:eastAsia="zh-CN"/>
        </w:rPr>
        <w:sectPr>
          <w:pgSz w:w="11906" w:h="16838"/>
          <w:pgMar w:top="1757" w:right="1417" w:bottom="1417" w:left="1644" w:header="1474" w:footer="1304" w:gutter="0"/>
          <w:pgNumType w:fmt="numberInDash"/>
          <w:cols w:space="720" w:num="1"/>
          <w:rtlGutter w:val="0"/>
          <w:docGrid w:type="lines" w:linePitch="315" w:charSpace="0"/>
        </w:sectPr>
      </w:pPr>
    </w:p>
    <w:p w14:paraId="2AA1D1E7">
      <w:pPr>
        <w:keepNext w:val="0"/>
        <w:keepLines w:val="0"/>
        <w:pageBreakBefore w:val="0"/>
        <w:kinsoku/>
        <w:wordWrap/>
        <w:overflowPunct/>
        <w:topLinePunct w:val="0"/>
        <w:autoSpaceDE/>
        <w:autoSpaceDN/>
        <w:bidi w:val="0"/>
        <w:adjustRightInd/>
        <w:snapToGrid w:val="0"/>
        <w:spacing w:line="560" w:lineRule="exact"/>
        <w:ind w:left="0" w:lef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14:paraId="45507755">
      <w:pPr>
        <w:pStyle w:val="2"/>
        <w:rPr>
          <w:rFonts w:hint="default"/>
          <w:lang w:val="en-US" w:eastAsia="zh-CN"/>
        </w:rPr>
      </w:pPr>
    </w:p>
    <w:p w14:paraId="41B05737">
      <w:pPr>
        <w:keepNext w:val="0"/>
        <w:keepLines w:val="0"/>
        <w:pageBreakBefore w:val="0"/>
        <w:kinsoku/>
        <w:wordWrap/>
        <w:overflowPunct/>
        <w:topLinePunct w:val="0"/>
        <w:autoSpaceDE/>
        <w:autoSpaceDN/>
        <w:bidi w:val="0"/>
        <w:adjustRightInd/>
        <w:snapToGrid w:val="0"/>
        <w:spacing w:line="560" w:lineRule="exact"/>
        <w:ind w:left="0" w:leftChars="0"/>
        <w:jc w:val="center"/>
        <w:textAlignment w:val="auto"/>
        <w:rPr>
          <w:rFonts w:hint="default" w:ascii="方正小标宋简体" w:hAnsi="方正小标宋简体" w:eastAsia="方正小标宋简体" w:cs="方正小标宋简体"/>
          <w:color w:val="auto"/>
          <w:sz w:val="36"/>
          <w:szCs w:val="36"/>
          <w:lang w:val="en-US" w:eastAsia="zh-CN"/>
        </w:rPr>
      </w:pPr>
      <w:r>
        <w:rPr>
          <w:rFonts w:hint="default" w:ascii="方正小标宋简体" w:hAnsi="方正小标宋简体" w:eastAsia="方正小标宋简体" w:cs="方正小标宋简体"/>
          <w:color w:val="auto"/>
          <w:sz w:val="36"/>
          <w:szCs w:val="36"/>
          <w:lang w:val="en-US" w:eastAsia="zh-CN"/>
        </w:rPr>
        <w:t>申报</w:t>
      </w:r>
      <w:r>
        <w:rPr>
          <w:rFonts w:hint="eastAsia" w:ascii="方正小标宋简体" w:hAnsi="方正小标宋简体" w:eastAsia="方正小标宋简体" w:cs="方正小标宋简体"/>
          <w:color w:val="auto"/>
          <w:sz w:val="36"/>
          <w:szCs w:val="36"/>
          <w:lang w:val="en-US" w:eastAsia="zh-CN"/>
        </w:rPr>
        <w:t>佐证材料参考清单</w:t>
      </w:r>
    </w:p>
    <w:p w14:paraId="7E24A06F">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Times New Roman" w:hAnsi="Times New Roman" w:eastAsia="宋体" w:cs="Times New Roman"/>
          <w:szCs w:val="24"/>
          <w:lang w:val="en-US" w:eastAsia="zh-CN"/>
        </w:rPr>
      </w:pPr>
      <w:r>
        <w:rPr>
          <w:rFonts w:hint="eastAsia" w:ascii="Times New Roman" w:hAnsi="Times New Roman" w:eastAsia="宋体" w:cs="Times New Roman"/>
          <w:szCs w:val="24"/>
          <w:lang w:val="en-US" w:eastAsia="zh-CN"/>
        </w:rPr>
        <w:t xml:space="preserve">     </w:t>
      </w:r>
    </w:p>
    <w:p w14:paraId="5AAC32E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宋体" w:cs="Times New Roman"/>
          <w:szCs w:val="24"/>
          <w:lang w:val="en-US" w:eastAsia="zh-CN"/>
        </w:rPr>
      </w:pPr>
      <w:r>
        <w:rPr>
          <w:rFonts w:hint="eastAsia" w:ascii="仿宋_GB2312" w:hAnsi="仿宋_GB2312" w:eastAsia="仿宋_GB2312" w:cs="仿宋_GB2312"/>
          <w:color w:val="auto"/>
          <w:sz w:val="32"/>
          <w:szCs w:val="32"/>
          <w:highlight w:val="none"/>
          <w:lang w:val="en-US" w:eastAsia="zh-CN"/>
        </w:rPr>
        <w:t>申报企业根据在</w:t>
      </w:r>
      <w:r>
        <w:rPr>
          <w:rFonts w:hint="eastAsia" w:ascii="仿宋_GB2312" w:hAnsi="仿宋_GB2312" w:eastAsia="仿宋_GB2312" w:cs="仿宋_GB2312"/>
          <w:color w:val="auto"/>
          <w:sz w:val="32"/>
          <w:szCs w:val="32"/>
          <w:lang w:val="en-US" w:eastAsia="zh-CN"/>
        </w:rPr>
        <w:t>《江西省专精特新中小企业申请书》中所填报的内容提供相应佐证材料即可，非每项都要提供。</w:t>
      </w:r>
    </w:p>
    <w:p w14:paraId="4008856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专精</w:t>
      </w:r>
      <w:r>
        <w:rPr>
          <w:rFonts w:hint="eastAsia" w:ascii="仿宋_GB2312" w:hAnsi="仿宋_GB2312" w:eastAsia="仿宋_GB2312" w:cs="仿宋_GB2312"/>
          <w:color w:val="auto"/>
          <w:sz w:val="32"/>
          <w:szCs w:val="32"/>
          <w:highlight w:val="none"/>
          <w:lang w:eastAsia="zh-CN"/>
        </w:rPr>
        <w:t>特新</w:t>
      </w:r>
      <w:r>
        <w:rPr>
          <w:rFonts w:hint="eastAsia" w:ascii="仿宋_GB2312" w:hAnsi="仿宋_GB2312" w:eastAsia="仿宋_GB2312" w:cs="仿宋_GB2312"/>
          <w:color w:val="auto"/>
          <w:sz w:val="32"/>
          <w:szCs w:val="32"/>
          <w:highlight w:val="none"/>
        </w:rPr>
        <w:t>中小企业</w:t>
      </w:r>
      <w:r>
        <w:rPr>
          <w:rFonts w:hint="eastAsia" w:ascii="仿宋_GB2312" w:hAnsi="仿宋_GB2312" w:eastAsia="仿宋_GB2312" w:cs="仿宋_GB2312"/>
          <w:color w:val="auto"/>
          <w:sz w:val="32"/>
          <w:szCs w:val="32"/>
          <w:highlight w:val="none"/>
          <w:lang w:eastAsia="zh-CN"/>
        </w:rPr>
        <w:t>申报</w:t>
      </w:r>
      <w:r>
        <w:rPr>
          <w:rFonts w:hint="eastAsia" w:ascii="仿宋_GB2312" w:hAnsi="仿宋_GB2312" w:eastAsia="仿宋_GB2312" w:cs="仿宋_GB2312"/>
          <w:color w:val="auto"/>
          <w:sz w:val="32"/>
          <w:szCs w:val="32"/>
          <w:highlight w:val="none"/>
        </w:rPr>
        <w:t>表》扫描件（在培育平台填写后下载打印，相关数据须与培育平台申报系统保</w:t>
      </w:r>
      <w:r>
        <w:rPr>
          <w:rFonts w:hint="eastAsia" w:ascii="仿宋_GB2312" w:hAnsi="仿宋_GB2312" w:eastAsia="仿宋_GB2312" w:cs="仿宋_GB2312"/>
          <w:sz w:val="32"/>
          <w:szCs w:val="32"/>
          <w:highlight w:val="none"/>
        </w:rPr>
        <w:t>持一致，在“真实性声明”处由法定代表人签字，并在封面加盖公章）；</w:t>
      </w:r>
    </w:p>
    <w:p w14:paraId="30E3E02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2.佐证材料目录；</w:t>
      </w:r>
    </w:p>
    <w:p w14:paraId="5E090A3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3.企业营业执照；</w:t>
      </w:r>
    </w:p>
    <w:p w14:paraId="705FBB0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sz w:val="32"/>
          <w:szCs w:val="32"/>
          <w:highlight w:val="none"/>
          <w:lang w:val="en-US" w:eastAsia="zh-CN"/>
        </w:rPr>
        <w:t>2023-2025年度审计报告（</w:t>
      </w:r>
      <w:r>
        <w:rPr>
          <w:rFonts w:hint="eastAsia" w:ascii="仿宋_GB2312" w:hAnsi="仿宋_GB2312" w:eastAsia="仿宋_GB2312" w:cs="仿宋_GB2312"/>
          <w:color w:val="auto"/>
          <w:sz w:val="32"/>
          <w:szCs w:val="32"/>
          <w:highlight w:val="none"/>
          <w:lang w:val="en-US" w:eastAsia="zh-CN"/>
        </w:rPr>
        <w:t>或经税务部门盖章确认的完整财务报表，含营业收入、主营业务收入、研发费用投入、净利润率、资产负债率等数据指标）</w:t>
      </w:r>
      <w:r>
        <w:rPr>
          <w:rFonts w:hint="eastAsia" w:ascii="仿宋_GB2312" w:hAnsi="仿宋_GB2312" w:eastAsia="仿宋_GB2312" w:cs="仿宋_GB2312"/>
          <w:sz w:val="32"/>
          <w:szCs w:val="32"/>
          <w:highlight w:val="none"/>
          <w:lang w:val="en-US" w:eastAsia="zh-CN"/>
        </w:rPr>
        <w:t>；</w:t>
      </w:r>
    </w:p>
    <w:p w14:paraId="4439C62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近两年新增股权融资佐证材料；</w:t>
      </w:r>
    </w:p>
    <w:p w14:paraId="3CFB2EF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6.2025年年末缴纳社保人数证明；</w:t>
      </w:r>
    </w:p>
    <w:p w14:paraId="0A7BA38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与企业主导产品相关的有效I类知识产权</w:t>
      </w:r>
      <w:r>
        <w:rPr>
          <w:rFonts w:hint="eastAsia" w:ascii="仿宋_GB2312" w:hAnsi="仿宋_GB2312" w:eastAsia="仿宋_GB2312" w:cs="仿宋_GB2312"/>
          <w:sz w:val="32"/>
          <w:szCs w:val="32"/>
          <w:highlight w:val="none"/>
          <w:lang w:eastAsia="zh-CN"/>
        </w:rPr>
        <w:t>，且实际应用并已产生经济效益</w:t>
      </w:r>
      <w:r>
        <w:rPr>
          <w:rFonts w:hint="eastAsia" w:ascii="仿宋_GB2312" w:hAnsi="仿宋_GB2312" w:eastAsia="仿宋_GB2312" w:cs="仿宋_GB2312"/>
          <w:sz w:val="32"/>
          <w:szCs w:val="32"/>
          <w:highlight w:val="none"/>
        </w:rPr>
        <w:t>佐证材料</w:t>
      </w:r>
      <w:r>
        <w:rPr>
          <w:rFonts w:hint="eastAsia" w:ascii="仿宋_GB2312" w:hAnsi="仿宋_GB2312" w:eastAsia="仿宋_GB2312" w:cs="仿宋_GB2312"/>
          <w:color w:val="auto"/>
          <w:sz w:val="32"/>
          <w:szCs w:val="32"/>
          <w:highlight w:val="none"/>
          <w:lang w:val="en-US" w:eastAsia="zh-CN"/>
        </w:rPr>
        <w:t>；</w:t>
      </w:r>
    </w:p>
    <w:p w14:paraId="6BDC3A9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sz w:val="32"/>
          <w:szCs w:val="32"/>
          <w:highlight w:val="none"/>
        </w:rPr>
        <w:t>主营业务及主导产品情况说明（</w:t>
      </w:r>
      <w:r>
        <w:rPr>
          <w:rFonts w:hint="eastAsia" w:ascii="仿宋_GB2312" w:hAnsi="仿宋_GB2312" w:eastAsia="仿宋_GB2312" w:cs="仿宋_GB2312"/>
          <w:sz w:val="32"/>
          <w:szCs w:val="32"/>
          <w:highlight w:val="none"/>
          <w:lang w:val="en-US" w:eastAsia="zh-CN"/>
        </w:rPr>
        <w:t>说明细分市场范围、主要竞争对手、企业排名或市场份额</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主导产品</w:t>
      </w:r>
      <w:r>
        <w:rPr>
          <w:rFonts w:hint="eastAsia" w:ascii="仿宋_GB2312" w:hAnsi="仿宋_GB2312" w:eastAsia="仿宋_GB2312" w:cs="仿宋_GB2312"/>
          <w:sz w:val="32"/>
          <w:szCs w:val="32"/>
          <w:highlight w:val="none"/>
          <w:lang w:eastAsia="zh-CN"/>
        </w:rPr>
        <w:t>在国内或国际细分市场占有</w:t>
      </w:r>
      <w:r>
        <w:rPr>
          <w:rFonts w:hint="eastAsia" w:ascii="仿宋_GB2312" w:hAnsi="仿宋_GB2312" w:eastAsia="仿宋_GB2312" w:cs="仿宋_GB2312"/>
          <w:sz w:val="32"/>
          <w:szCs w:val="32"/>
          <w:highlight w:val="none"/>
          <w:lang w:val="en-US" w:eastAsia="zh-CN"/>
        </w:rPr>
        <w:t>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排名、</w:t>
      </w:r>
      <w:r>
        <w:rPr>
          <w:rFonts w:hint="eastAsia" w:ascii="仿宋_GB2312" w:hAnsi="仿宋_GB2312" w:eastAsia="仿宋_GB2312" w:cs="仿宋_GB2312"/>
          <w:sz w:val="32"/>
          <w:szCs w:val="32"/>
          <w:highlight w:val="none"/>
          <w:lang w:val="zh-CN" w:eastAsia="zh-CN"/>
        </w:rPr>
        <w:t>知名度、影响力</w:t>
      </w:r>
      <w:r>
        <w:rPr>
          <w:rFonts w:hint="eastAsia" w:ascii="仿宋_GB2312" w:hAnsi="仿宋_GB2312" w:eastAsia="仿宋_GB2312" w:cs="仿宋_GB2312"/>
          <w:sz w:val="32"/>
          <w:szCs w:val="32"/>
          <w:highlight w:val="none"/>
          <w:lang w:eastAsia="zh-CN"/>
        </w:rPr>
        <w:t>情况佐证材料</w:t>
      </w:r>
      <w:r>
        <w:rPr>
          <w:rFonts w:hint="eastAsia" w:ascii="仿宋_GB2312" w:hAnsi="仿宋_GB2312" w:eastAsia="仿宋_GB2312" w:cs="仿宋_GB2312"/>
          <w:color w:val="auto"/>
          <w:sz w:val="32"/>
          <w:szCs w:val="32"/>
          <w:highlight w:val="none"/>
          <w:lang w:val="en-US" w:eastAsia="zh-CN"/>
        </w:rPr>
        <w:t>；</w:t>
      </w:r>
    </w:p>
    <w:p w14:paraId="554D225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9</w:t>
      </w:r>
      <w:r>
        <w:rPr>
          <w:rFonts w:hint="default"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sz w:val="32"/>
          <w:szCs w:val="32"/>
          <w:highlight w:val="none"/>
        </w:rPr>
        <w:t>近</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年获得</w:t>
      </w:r>
      <w:r>
        <w:rPr>
          <w:rFonts w:hint="eastAsia" w:ascii="仿宋_GB2312" w:hAnsi="仿宋_GB2312" w:eastAsia="仿宋_GB2312" w:cs="仿宋_GB2312"/>
          <w:sz w:val="32"/>
          <w:szCs w:val="32"/>
          <w:highlight w:val="none"/>
          <w:lang w:eastAsia="zh-CN"/>
        </w:rPr>
        <w:t>省部级以上科学技术奖励（排名前三）或经认定的省部级以上研发机构佐证材料</w:t>
      </w:r>
      <w:r>
        <w:rPr>
          <w:rFonts w:hint="default" w:ascii="仿宋_GB2312" w:hAnsi="仿宋_GB2312" w:eastAsia="仿宋_GB2312" w:cs="仿宋_GB2312"/>
          <w:color w:val="auto"/>
          <w:sz w:val="32"/>
          <w:szCs w:val="32"/>
          <w:highlight w:val="none"/>
          <w:lang w:val="en" w:eastAsia="zh-CN"/>
        </w:rPr>
        <w:t>；</w:t>
      </w:r>
    </w:p>
    <w:p w14:paraId="6A5E5206">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年以来未发生重大安全（含网络安全、数据安全）、质量、环境污染等事故以及偷漏税等违法违规行为证明材料（在信用中国https://www.creditchina.gov.cn/下载公共信用信息报告）；20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年以来</w:t>
      </w:r>
      <w:r>
        <w:rPr>
          <w:rFonts w:hint="eastAsia" w:ascii="仿宋_GB2312" w:hAnsi="仿宋_GB2312" w:eastAsia="仿宋_GB2312" w:cs="仿宋_GB2312"/>
          <w:sz w:val="32"/>
          <w:szCs w:val="32"/>
          <w:highlight w:val="none"/>
          <w:lang w:val="en-US" w:eastAsia="zh-CN"/>
        </w:rPr>
        <w:t>未被列入</w:t>
      </w:r>
      <w:r>
        <w:rPr>
          <w:rFonts w:hint="eastAsia" w:ascii="仿宋_GB2312" w:hAnsi="仿宋_GB2312" w:eastAsia="仿宋_GB2312" w:cs="仿宋_GB2312"/>
          <w:sz w:val="32"/>
          <w:szCs w:val="32"/>
          <w:highlight w:val="none"/>
        </w:rPr>
        <w:t>经营异常</w:t>
      </w:r>
      <w:r>
        <w:rPr>
          <w:rFonts w:hint="eastAsia" w:ascii="仿宋_GB2312" w:hAnsi="仿宋_GB2312" w:eastAsia="仿宋_GB2312" w:cs="仿宋_GB2312"/>
          <w:sz w:val="32"/>
          <w:szCs w:val="32"/>
          <w:highlight w:val="none"/>
          <w:lang w:val="en-US" w:eastAsia="zh-CN"/>
        </w:rPr>
        <w:t>名录</w:t>
      </w:r>
      <w:r>
        <w:rPr>
          <w:rFonts w:hint="eastAsia" w:ascii="仿宋_GB2312" w:hAnsi="仿宋_GB2312" w:eastAsia="仿宋_GB2312" w:cs="仿宋_GB2312"/>
          <w:sz w:val="32"/>
          <w:szCs w:val="32"/>
          <w:highlight w:val="none"/>
        </w:rPr>
        <w:t>证明材料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w:t>
      </w:r>
      <w:r>
        <w:rPr>
          <w:rFonts w:hint="eastAsia" w:ascii="仿宋_GB2312" w:hAnsi="仿宋_GB2312" w:eastAsia="仿宋_GB2312" w:cs="仿宋_GB2312"/>
          <w:sz w:val="32"/>
          <w:szCs w:val="32"/>
          <w:highlight w:val="none"/>
        </w:rPr>
        <w:t>国家企业信用信息公示系统http://www.gsxt.gov.cn</w:t>
      </w:r>
      <w:r>
        <w:rPr>
          <w:rFonts w:hint="eastAsia" w:ascii="仿宋_GB2312" w:hAnsi="仿宋_GB2312" w:eastAsia="仿宋_GB2312" w:cs="仿宋_GB2312"/>
          <w:sz w:val="32"/>
          <w:szCs w:val="32"/>
          <w:highlight w:val="none"/>
          <w:lang w:val="en-US" w:eastAsia="zh-CN"/>
        </w:rPr>
        <w:t>下载报告）</w:t>
      </w:r>
      <w:r>
        <w:rPr>
          <w:rFonts w:hint="eastAsia" w:ascii="仿宋_GB2312" w:hAnsi="仿宋_GB2312" w:eastAsia="仿宋_GB2312" w:cs="仿宋_GB2312"/>
          <w:sz w:val="32"/>
          <w:szCs w:val="32"/>
          <w:highlight w:val="none"/>
          <w:lang w:eastAsia="zh-CN"/>
        </w:rPr>
        <w:t>；</w:t>
      </w:r>
    </w:p>
    <w:p w14:paraId="0A930D04">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11.真实性声明及合规经营承诺；</w:t>
      </w:r>
    </w:p>
    <w:p w14:paraId="4D084B8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color w:val="auto"/>
          <w:sz w:val="32"/>
          <w:szCs w:val="32"/>
          <w:highlight w:val="none"/>
          <w:lang w:val="en-US" w:eastAsia="zh-CN"/>
        </w:rPr>
        <w:t>申报企业认为有必要提供、与所填报信息有关的其他佐证材料。</w:t>
      </w:r>
    </w:p>
    <w:p w14:paraId="26B6F7F4">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color w:val="auto"/>
          <w:sz w:val="32"/>
          <w:szCs w:val="32"/>
          <w:highlight w:val="none"/>
          <w:lang w:val="en-US" w:eastAsia="zh-CN"/>
        </w:rPr>
        <w:t>备注：</w:t>
      </w:r>
      <w:r>
        <w:rPr>
          <w:rFonts w:hint="default" w:ascii="仿宋_GB2312" w:hAnsi="仿宋_GB2312" w:cs="仿宋_GB2312"/>
          <w:color w:val="auto"/>
          <w:sz w:val="32"/>
          <w:szCs w:val="32"/>
          <w:lang w:val="en" w:eastAsia="zh-CN"/>
        </w:rPr>
        <w:t>将每</w:t>
      </w:r>
      <w:r>
        <w:rPr>
          <w:rFonts w:hint="eastAsia" w:ascii="仿宋_GB2312" w:hAnsi="仿宋_GB2312" w:eastAsia="仿宋_GB2312" w:cs="仿宋_GB2312"/>
          <w:color w:val="auto"/>
          <w:sz w:val="32"/>
          <w:szCs w:val="32"/>
          <w:lang w:val="en-US" w:eastAsia="zh-CN"/>
        </w:rPr>
        <w:t>份材料扫描为一个</w:t>
      </w:r>
      <w:r>
        <w:rPr>
          <w:rFonts w:hint="default" w:ascii="仿宋_GB2312" w:hAnsi="仿宋_GB2312" w:cs="仿宋_GB2312"/>
          <w:color w:val="auto"/>
          <w:sz w:val="32"/>
          <w:szCs w:val="32"/>
          <w:lang w:val="en" w:eastAsia="zh-CN"/>
        </w:rPr>
        <w:t>单独的</w:t>
      </w:r>
      <w:r>
        <w:rPr>
          <w:rFonts w:hint="eastAsia" w:ascii="仿宋_GB2312" w:hAnsi="仿宋_GB2312" w:eastAsia="仿宋_GB2312" w:cs="仿宋_GB2312"/>
          <w:color w:val="auto"/>
          <w:sz w:val="32"/>
          <w:szCs w:val="32"/>
          <w:lang w:val="en-US" w:eastAsia="zh-CN"/>
        </w:rPr>
        <w:t>PDF文件，再</w:t>
      </w:r>
      <w:r>
        <w:rPr>
          <w:rFonts w:hint="default" w:ascii="仿宋_GB2312" w:hAnsi="仿宋_GB2312" w:cs="仿宋_GB2312"/>
          <w:color w:val="auto"/>
          <w:sz w:val="32"/>
          <w:szCs w:val="32"/>
          <w:lang w:val="en" w:eastAsia="zh-CN"/>
        </w:rPr>
        <w:t>按照佐证材料目录将</w:t>
      </w:r>
      <w:r>
        <w:rPr>
          <w:rFonts w:hint="eastAsia" w:ascii="仿宋_GB2312" w:hAnsi="仿宋_GB2312" w:eastAsia="仿宋_GB2312" w:cs="仿宋_GB2312"/>
          <w:color w:val="auto"/>
          <w:sz w:val="32"/>
          <w:szCs w:val="32"/>
          <w:lang w:val="en-US" w:eastAsia="zh-CN"/>
        </w:rPr>
        <w:t>所有PDF佐证材料放</w:t>
      </w:r>
      <w:r>
        <w:rPr>
          <w:rFonts w:hint="eastAsia" w:ascii="仿宋_GB2312" w:hAnsi="仿宋_GB2312" w:cs="仿宋_GB2312"/>
          <w:color w:val="auto"/>
          <w:sz w:val="32"/>
          <w:szCs w:val="32"/>
          <w:lang w:val="en-US" w:eastAsia="zh-CN"/>
        </w:rPr>
        <w:t>入一个以企业名称命名的文件夹后形成压缩包上传</w:t>
      </w:r>
      <w:r>
        <w:rPr>
          <w:rFonts w:hint="default" w:ascii="仿宋_GB2312" w:hAnsi="仿宋_GB2312" w:cs="仿宋_GB2312"/>
          <w:color w:val="auto"/>
          <w:sz w:val="32"/>
          <w:szCs w:val="32"/>
          <w:lang w:val="en" w:eastAsia="zh-CN"/>
        </w:rPr>
        <w:t>至培育平台</w:t>
      </w:r>
      <w:r>
        <w:rPr>
          <w:rFonts w:hint="eastAsia" w:ascii="仿宋_GB2312" w:hAnsi="仿宋_GB2312" w:eastAsia="仿宋_GB2312" w:cs="仿宋_GB2312"/>
          <w:color w:val="auto"/>
          <w:sz w:val="32"/>
          <w:szCs w:val="32"/>
          <w:lang w:val="en-US" w:eastAsia="zh-CN"/>
        </w:rPr>
        <w:t>。</w:t>
      </w:r>
    </w:p>
    <w:p w14:paraId="386D4094">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pPr>
    </w:p>
    <w:p w14:paraId="685F8615">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pPr>
    </w:p>
    <w:p w14:paraId="04C4957C">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sectPr>
          <w:pgSz w:w="11906" w:h="16838"/>
          <w:pgMar w:top="1757" w:right="1417" w:bottom="1417" w:left="1644" w:header="1474" w:footer="1304" w:gutter="0"/>
          <w:pgNumType w:fmt="numberInDash"/>
          <w:cols w:space="720" w:num="1"/>
          <w:rtlGutter w:val="0"/>
          <w:docGrid w:type="lines" w:linePitch="315" w:charSpace="0"/>
        </w:sectPr>
      </w:pPr>
    </w:p>
    <w:p w14:paraId="71DE7437">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附件6</w:t>
      </w:r>
    </w:p>
    <w:p w14:paraId="3FE1E584">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73FEFF50">
      <w:pPr>
        <w:keepNext w:val="0"/>
        <w:keepLines w:val="0"/>
        <w:pageBreakBefore w:val="0"/>
        <w:kinsoku/>
        <w:wordWrap/>
        <w:overflowPunct/>
        <w:topLinePunct w:val="0"/>
        <w:autoSpaceDE/>
        <w:autoSpaceDN/>
        <w:bidi w:val="0"/>
        <w:adjustRightInd/>
        <w:spacing w:line="560" w:lineRule="exact"/>
        <w:ind w:left="0" w:left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真实性声明和合规经营承诺</w:t>
      </w:r>
    </w:p>
    <w:p w14:paraId="611AEAB4">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407E6746">
      <w:pPr>
        <w:keepNext w:val="0"/>
        <w:keepLines w:val="0"/>
        <w:pageBreakBefore w:val="0"/>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一、本企业填报的专精特新中小企业认定内容和所提交的纸质资料均准确、真实、合法、有效、无涉密信息。</w:t>
      </w:r>
    </w:p>
    <w:p w14:paraId="582DE87F">
      <w:pPr>
        <w:keepNext w:val="0"/>
        <w:keepLines w:val="0"/>
        <w:pageBreakBefore w:val="0"/>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企业未被列入经营异常名录或严重失信主体名单，提供的产品（服务）不属于国家禁止、限制或淘汰类，同时近三年未发生重大安全（含网络安全、数据安全）、质量、环境污染等事故以及偷漏税等违法违规行为。</w:t>
      </w:r>
    </w:p>
    <w:p w14:paraId="02947EFC">
      <w:pPr>
        <w:keepNext w:val="0"/>
        <w:keepLines w:val="0"/>
        <w:pageBreakBefore w:val="0"/>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三、本企业愿为以上事项承担有关法律责任。</w:t>
      </w:r>
    </w:p>
    <w:p w14:paraId="594448E2">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715A9D39">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2DACBFB0">
      <w:pPr>
        <w:keepNext w:val="0"/>
        <w:keepLines w:val="0"/>
        <w:pageBreakBefore w:val="0"/>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法定代表人（签名）：             企业（公章）</w:t>
      </w:r>
    </w:p>
    <w:p w14:paraId="2D9BE3BE">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14B9672B">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44FBE755">
      <w:pPr>
        <w:keepNext w:val="0"/>
        <w:keepLines w:val="0"/>
        <w:pageBreakBefore w:val="0"/>
        <w:kinsoku/>
        <w:wordWrap/>
        <w:overflowPunct/>
        <w:topLinePunct w:val="0"/>
        <w:autoSpaceDE/>
        <w:autoSpaceDN/>
        <w:bidi w:val="0"/>
        <w:adjustRightInd/>
        <w:spacing w:line="560" w:lineRule="exact"/>
        <w:ind w:left="0" w:leftChars="0"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     年    月   日</w:t>
      </w:r>
    </w:p>
    <w:p w14:paraId="05809CD0">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3589737B">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仿宋_GB2312" w:hAnsi="仿宋_GB2312" w:eastAsia="仿宋_GB2312" w:cs="仿宋_GB2312"/>
          <w:sz w:val="32"/>
          <w:szCs w:val="32"/>
          <w:lang w:val="en-US" w:eastAsia="zh-CN"/>
        </w:rPr>
      </w:pPr>
    </w:p>
    <w:p w14:paraId="0B1F4D7E">
      <w:pPr>
        <w:keepNext w:val="0"/>
        <w:keepLines w:val="0"/>
        <w:pageBreakBefore w:val="0"/>
        <w:kinsoku/>
        <w:wordWrap/>
        <w:overflowPunct/>
        <w:topLinePunct w:val="0"/>
        <w:autoSpaceDE/>
        <w:autoSpaceDN/>
        <w:bidi w:val="0"/>
        <w:adjustRightInd/>
        <w:spacing w:line="560" w:lineRule="exact"/>
        <w:ind w:left="0" w:leftChars="0"/>
        <w:jc w:val="left"/>
        <w:textAlignment w:val="auto"/>
        <w:rPr>
          <w:rFonts w:hint="eastAsia" w:ascii="黑体" w:hAnsi="黑体" w:eastAsia="黑体" w:cs="黑体"/>
          <w:sz w:val="32"/>
          <w:szCs w:val="32"/>
          <w:lang w:val="en-US" w:eastAsia="zh-CN"/>
        </w:rPr>
      </w:pPr>
    </w:p>
    <w:p w14:paraId="2B786472">
      <w:pPr>
        <w:pStyle w:val="2"/>
        <w:keepNext w:val="0"/>
        <w:keepLines w:val="0"/>
        <w:pageBreakBefore w:val="0"/>
        <w:kinsoku/>
        <w:wordWrap/>
        <w:overflowPunct/>
        <w:topLinePunct w:val="0"/>
        <w:autoSpaceDE/>
        <w:autoSpaceDN/>
        <w:bidi w:val="0"/>
        <w:adjustRightInd/>
        <w:spacing w:line="560" w:lineRule="exact"/>
        <w:ind w:left="0" w:leftChars="0"/>
        <w:rPr>
          <w:rFonts w:hint="eastAsia" w:ascii="黑体" w:hAnsi="黑体" w:eastAsia="黑体" w:cs="黑体"/>
          <w:sz w:val="32"/>
          <w:szCs w:val="32"/>
          <w:lang w:val="en-US" w:eastAsia="zh-CN"/>
        </w:rPr>
      </w:pPr>
    </w:p>
    <w:p w14:paraId="4A9350E5">
      <w:pPr>
        <w:pStyle w:val="3"/>
        <w:keepNext w:val="0"/>
        <w:keepLines w:val="0"/>
        <w:pageBreakBefore w:val="0"/>
        <w:kinsoku/>
        <w:wordWrap/>
        <w:overflowPunct/>
        <w:topLinePunct w:val="0"/>
        <w:autoSpaceDE/>
        <w:autoSpaceDN/>
        <w:bidi w:val="0"/>
        <w:adjustRightInd/>
        <w:spacing w:line="560" w:lineRule="exact"/>
        <w:ind w:left="0" w:leftChars="0"/>
        <w:rPr>
          <w:rFonts w:hint="eastAsia" w:ascii="黑体" w:hAnsi="黑体" w:eastAsia="黑体" w:cs="黑体"/>
          <w:sz w:val="32"/>
          <w:szCs w:val="32"/>
          <w:lang w:val="en-US" w:eastAsia="zh-CN"/>
        </w:rPr>
      </w:pPr>
    </w:p>
    <w:p w14:paraId="5FA4FD2B">
      <w:pPr>
        <w:pStyle w:val="2"/>
        <w:rPr>
          <w:rFonts w:hint="eastAsia"/>
          <w:lang w:val="en-US" w:eastAsia="zh-CN"/>
        </w:rPr>
        <w:sectPr>
          <w:pgSz w:w="11906" w:h="16838"/>
          <w:pgMar w:top="1757" w:right="1417" w:bottom="1417" w:left="1644" w:header="1474" w:footer="1304" w:gutter="0"/>
          <w:pgNumType w:fmt="numberInDash"/>
          <w:cols w:space="720" w:num="1"/>
          <w:rtlGutter w:val="0"/>
          <w:docGrid w:type="lines" w:linePitch="315" w:charSpace="0"/>
        </w:sectPr>
      </w:pPr>
    </w:p>
    <w:p w14:paraId="0387B4BF">
      <w:pPr>
        <w:tabs>
          <w:tab w:val="left" w:pos="647"/>
        </w:tabs>
        <w:bidi w:val="0"/>
        <w:ind w:left="0" w:leftChars="0" w:firstLine="0" w:firstLineChars="0"/>
        <w:jc w:val="left"/>
        <w:rPr>
          <w:rFonts w:hint="eastAsia"/>
          <w:lang w:val="en-US" w:eastAsia="zh-CN"/>
        </w:rPr>
      </w:pPr>
    </w:p>
    <w:sectPr>
      <w:footerReference r:id="rId7"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01000000" w:usb1="00000000" w:usb2="00000000" w:usb3="00000000" w:csb0="0000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Sans Ethiopic">
    <w:panose1 w:val="020B0502040504020204"/>
    <w:charset w:val="00"/>
    <w:family w:val="auto"/>
    <w:pitch w:val="default"/>
    <w:sig w:usb0="00000000" w:usb1="00000000" w:usb2="000008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1A8B8">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2A8DD76">
                          <w:pPr>
                            <w:pStyle w:val="5"/>
                          </w:pPr>
                          <w:r>
                            <w:fldChar w:fldCharType="begin"/>
                          </w:r>
                          <w:r>
                            <w:instrText xml:space="preserve"> PAGE  \* MERGEFORMAT </w:instrText>
                          </w:r>
                          <w:r>
                            <w:fldChar w:fldCharType="separate"/>
                          </w:r>
                          <w:r>
                            <w:t>- 4 -</w:t>
                          </w:r>
                          <w:r>
                            <w:fldChar w:fldCharType="end"/>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Pa51i7oAQAA&#10;yAMAAA4AAAAAAAAAAQAgAAAAHwEAAGRycy9lMm9Eb2MueG1sUEsFBgAAAAAGAAYAWQEAAHkFAAAA&#10;AA==&#10;">
              <v:fill on="f" focussize="0,0"/>
              <v:stroke on="f" weight="0.5pt"/>
              <v:imagedata o:title=""/>
              <o:lock v:ext="edit" aspectratio="f"/>
              <v:textbox inset="0mm,0mm,0mm,0mm" style="mso-fit-shape-to-text:t;">
                <w:txbxContent>
                  <w:p w14:paraId="12A8DD76">
                    <w:pPr>
                      <w:pStyle w:val="5"/>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AF0C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B9485">
                          <w:pPr>
                            <w:pStyle w:val="5"/>
                            <w:rPr>
                              <w:rFonts w:hint="eastAsia"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z w:val="24"/>
                            </w:rPr>
                            <w:t>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Fonts w:hint="eastAsia" w:ascii="仿宋_GB2312" w:hAnsi="仿宋_GB2312" w:eastAsia="仿宋_GB2312" w:cs="仿宋_GB2312"/>
                              <w:sz w:val="24"/>
                            </w:rPr>
                            <w:t>　</w:t>
                          </w:r>
                          <w:r>
                            <w:rPr>
                              <w:rFonts w:hint="eastAsia" w:ascii="仿宋_GB2312" w:hAnsi="仿宋_GB2312" w:eastAsia="仿宋_GB2312" w:cs="仿宋_GB2312"/>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3B9485">
                    <w:pPr>
                      <w:pStyle w:val="5"/>
                      <w:rPr>
                        <w:rFonts w:hint="eastAsia"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z w:val="24"/>
                      </w:rPr>
                      <w:t>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Fonts w:hint="eastAsia" w:ascii="仿宋_GB2312" w:hAnsi="仿宋_GB2312" w:eastAsia="仿宋_GB2312" w:cs="仿宋_GB2312"/>
                        <w:sz w:val="24"/>
                      </w:rPr>
                      <w:t>　</w:t>
                    </w:r>
                    <w:r>
                      <w:rPr>
                        <w:rFonts w:hint="eastAsia" w:ascii="仿宋_GB2312" w:hAnsi="仿宋_GB2312" w:eastAsia="仿宋_GB2312" w:cs="仿宋_GB2312"/>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251E0">
    <w:pPr>
      <w:pStyle w:val="6"/>
      <w:rPr>
        <w:rFonts w:hint="eastAsia" w:eastAsia="仿宋_GB2312"/>
        <w:lang w:val="en-US" w:eastAsia="zh-CN"/>
      </w:rPr>
    </w:pPr>
    <w:r>
      <w:rPr>
        <w:rFonts w:hint="eastAsia"/>
        <w:lang w:val="en-US"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0MTdhOWUwZDc4NjI1NThjZTA3ODZlNDU3NmZlZDQifQ=="/>
  </w:docVars>
  <w:rsids>
    <w:rsidRoot w:val="5D5E0014"/>
    <w:rsid w:val="03DE1667"/>
    <w:rsid w:val="083A1A1A"/>
    <w:rsid w:val="0CAA06FD"/>
    <w:rsid w:val="0F9FD74B"/>
    <w:rsid w:val="12CD4F1C"/>
    <w:rsid w:val="1F7F009C"/>
    <w:rsid w:val="23FE9383"/>
    <w:rsid w:val="28EFF10A"/>
    <w:rsid w:val="2FE98C25"/>
    <w:rsid w:val="2FF69F0B"/>
    <w:rsid w:val="37C7F5B4"/>
    <w:rsid w:val="37FD254C"/>
    <w:rsid w:val="3B1A4D04"/>
    <w:rsid w:val="3FA671B7"/>
    <w:rsid w:val="3FD3B3BF"/>
    <w:rsid w:val="47BBE3C6"/>
    <w:rsid w:val="4C773E82"/>
    <w:rsid w:val="54016E61"/>
    <w:rsid w:val="5D5E0014"/>
    <w:rsid w:val="5FFDE150"/>
    <w:rsid w:val="61DF817E"/>
    <w:rsid w:val="6B5A2FD8"/>
    <w:rsid w:val="6EBF778F"/>
    <w:rsid w:val="6ED12484"/>
    <w:rsid w:val="736F48D1"/>
    <w:rsid w:val="757F60A2"/>
    <w:rsid w:val="77AF1BB0"/>
    <w:rsid w:val="77B7FF61"/>
    <w:rsid w:val="7BCBE8B1"/>
    <w:rsid w:val="7C3D6732"/>
    <w:rsid w:val="7D578C0E"/>
    <w:rsid w:val="7D5FCC93"/>
    <w:rsid w:val="7D949EB1"/>
    <w:rsid w:val="7DAFA042"/>
    <w:rsid w:val="7DBEFB94"/>
    <w:rsid w:val="7DF6E8FA"/>
    <w:rsid w:val="7E5747D4"/>
    <w:rsid w:val="7E7D2FBA"/>
    <w:rsid w:val="7EB7EB91"/>
    <w:rsid w:val="7FBD8D61"/>
    <w:rsid w:val="7FBF6D48"/>
    <w:rsid w:val="7FD9A6DC"/>
    <w:rsid w:val="7FDF7E7C"/>
    <w:rsid w:val="7FFF90BF"/>
    <w:rsid w:val="8F7EF1AD"/>
    <w:rsid w:val="95FE5C44"/>
    <w:rsid w:val="9D6E57F6"/>
    <w:rsid w:val="AEF62699"/>
    <w:rsid w:val="BAFB0499"/>
    <w:rsid w:val="BB6F779D"/>
    <w:rsid w:val="BDF7F66B"/>
    <w:rsid w:val="C37B77BF"/>
    <w:rsid w:val="CADB3D5F"/>
    <w:rsid w:val="CF7BEC5B"/>
    <w:rsid w:val="E737663A"/>
    <w:rsid w:val="ED7FB689"/>
    <w:rsid w:val="EF672464"/>
    <w:rsid w:val="EFBB1116"/>
    <w:rsid w:val="EFCE003C"/>
    <w:rsid w:val="EFE79F36"/>
    <w:rsid w:val="F0EFF3CB"/>
    <w:rsid w:val="F2FF0A84"/>
    <w:rsid w:val="FBAA59CE"/>
    <w:rsid w:val="FBE21AD6"/>
    <w:rsid w:val="FCABB760"/>
    <w:rsid w:val="FDBEE382"/>
    <w:rsid w:val="FFED0B4D"/>
    <w:rsid w:val="FFF7E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880" w:firstLineChars="200"/>
      <w:jc w:val="both"/>
    </w:pPr>
    <w:rPr>
      <w:rFonts w:ascii="仿宋_GB2312" w:hAnsi="仿宋_GB2312" w:eastAsia="仿宋_GB2312" w:cstheme="minorBidi"/>
      <w:kern w:val="2"/>
      <w:sz w:val="32"/>
      <w:szCs w:val="24"/>
      <w:lang w:val="en-US" w:eastAsia="zh-CN" w:bidi="ar-SA"/>
    </w:rPr>
  </w:style>
  <w:style w:type="paragraph" w:styleId="4">
    <w:name w:val="heading 1"/>
    <w:basedOn w:val="3"/>
    <w:autoRedefine/>
    <w:qFormat/>
    <w:uiPriority w:val="0"/>
    <w:pPr>
      <w:keepNext/>
      <w:keepLines/>
      <w:adjustRightInd w:val="0"/>
      <w:snapToGrid w:val="0"/>
      <w:spacing w:beforeLines="0" w:beforeAutospacing="0" w:afterLines="0" w:afterAutospacing="0" w:line="560" w:lineRule="exact"/>
      <w:ind w:firstLine="0" w:firstLineChars="0"/>
      <w:outlineLvl w:val="0"/>
    </w:pPr>
    <w:rPr>
      <w:rFonts w:ascii="方正公文小标宋" w:hAnsi="方正公文小标宋" w:eastAsia="方正公文小标宋"/>
      <w:b w:val="0"/>
      <w:kern w:val="44"/>
      <w:sz w:val="44"/>
      <w:szCs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ind w:firstLine="200"/>
    </w:pPr>
    <w:rPr>
      <w:rFonts w:ascii="Times New Roman" w:hAnsi="Times New Roman"/>
    </w:rPr>
  </w:style>
  <w:style w:type="paragraph" w:styleId="3">
    <w:name w:val="Title"/>
    <w:basedOn w:val="1"/>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autoRedefine/>
    <w:qFormat/>
    <w:uiPriority w:val="0"/>
    <w:rPr>
      <w:color w:val="0000FF"/>
      <w:u w:val="single"/>
    </w:rPr>
  </w:style>
  <w:style w:type="paragraph" w:customStyle="1" w:styleId="13">
    <w:name w:val="样式 文字 + 首行缩进:  2 字符3"/>
    <w:basedOn w:val="1"/>
    <w:autoRedefine/>
    <w:qFormat/>
    <w:uiPriority w:val="0"/>
    <w:pPr>
      <w:spacing w:line="360" w:lineRule="auto"/>
      <w:ind w:firstLine="200" w:firstLineChars="200"/>
    </w:pPr>
    <w:rPr>
      <w:rFonts w:ascii="Times New Roman" w:hAnsi="Times New Roman" w:eastAsia="仿宋_GB2312" w:cs="宋体"/>
      <w:sz w:val="28"/>
      <w:szCs w:val="28"/>
    </w:rPr>
  </w:style>
  <w:style w:type="paragraph" w:customStyle="1" w:styleId="14">
    <w:name w:val="Char"/>
    <w:basedOn w:val="1"/>
    <w:qFormat/>
    <w:uiPriority w:val="0"/>
    <w:rPr>
      <w:rFonts w:ascii="Tahoma" w:hAnsi="Tahoma"/>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978</Words>
  <Characters>1157</Characters>
  <Lines>0</Lines>
  <Paragraphs>0</Paragraphs>
  <TotalTime>2</TotalTime>
  <ScaleCrop>false</ScaleCrop>
  <LinksUpToDate>false</LinksUpToDate>
  <CharactersWithSpaces>1166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2024-05-23T17:58:00Z</dcterms:created>
  <dc:creator>石磊</dc:creator>
  <cp:lastModifiedBy>徐健</cp:lastModifiedBy>
  <cp:lastPrinted>2026-06-30T08:22:00Z</cp:lastPrinted>
  <dcterms:modified xsi:type="dcterms:W3CDTF">2026-07-01T15:37:36Z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B58F33FEACCFD3809CF03D6ACD727435_43</vt:lpwstr>
  </property>
  <property fmtid="{D5CDD505-2E9C-101B-9397-08002B2CF9AE}" pid="4" name="KSOTemplateDocerSaveRecord">
    <vt:lpwstr>eyJoZGlkIjoiOTg0MTdhOWUwZDc4NjI1NThjZTA3ODZlNDU3NmZlZDQiLCJ1c2VySWQiOiIzOTgyMTg0In0=</vt:lpwstr>
  </property>
</Properties>
</file>